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jpeg" ContentType="image/jpe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uppressAutoHyphens w:val="false"/>
        <w:spacing w:lineRule="auto" w:line="240"/>
        <w:ind w:hanging="0" w:left="0" w:right="0"/>
        <w:jc w:val="center"/>
        <w:rPr>
          <w:rFonts w:ascii="Verdana" w:hAnsi="Verdana"/>
          <w:b/>
          <w:bCs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</w:r>
    </w:p>
    <w:p>
      <w:pPr>
        <w:pStyle w:val="Normal"/>
        <w:suppressAutoHyphens w:val="false"/>
        <w:spacing w:lineRule="auto" w:line="240"/>
        <w:ind w:hanging="0" w:left="0" w:right="0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 xml:space="preserve">TERMO DE REFERÊNCIA </w:t>
      </w:r>
    </w:p>
    <w:p>
      <w:pPr>
        <w:pStyle w:val="Normal"/>
        <w:suppressAutoHyphens w:val="false"/>
        <w:spacing w:lineRule="auto" w:line="240"/>
        <w:ind w:hanging="0" w:left="0" w:right="0"/>
        <w:jc w:val="center"/>
        <w:rPr>
          <w:rFonts w:ascii="Verdana" w:hAnsi="Verdana"/>
          <w:b/>
          <w:bCs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</w:r>
    </w:p>
    <w:p>
      <w:pPr>
        <w:pStyle w:val="Normal"/>
        <w:spacing w:lineRule="auto" w:line="240"/>
        <w:jc w:val="center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240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iCs/>
          <w:color w:val="000000"/>
          <w:sz w:val="20"/>
          <w:szCs w:val="20"/>
        </w:rPr>
        <w:t xml:space="preserve">REGISTRO DE PREÇOS – </w:t>
      </w:r>
      <w:r>
        <w:rPr>
          <w:rFonts w:eastAsia="Times New Roman" w:cs="Times New Roman" w:ascii="Verdana" w:hAnsi="Verdana"/>
          <w:b/>
          <w:bCs/>
          <w:iCs/>
          <w:color w:val="000000"/>
          <w:sz w:val="20"/>
          <w:szCs w:val="20"/>
        </w:rPr>
        <w:t>AQUISIÇÃO D</w:t>
      </w:r>
      <w:r>
        <w:rPr>
          <w:rFonts w:eastAsia="Times New Roman" w:cs="Times New Roman" w:ascii="Verdana" w:hAnsi="Verdana"/>
          <w:b/>
          <w:bCs/>
          <w:iCs/>
          <w:color w:val="000000"/>
          <w:sz w:val="20"/>
          <w:szCs w:val="20"/>
          <w:u w:val="none"/>
        </w:rPr>
        <w:t xml:space="preserve">E </w:t>
      </w:r>
      <w:r>
        <w:rPr>
          <w:rFonts w:eastAsia="Arial" w:cs="Arial" w:ascii="Verdana" w:hAnsi="Verdana"/>
          <w:b/>
          <w:bCs/>
          <w:iCs/>
          <w:color w:val="000000"/>
          <w:sz w:val="20"/>
          <w:szCs w:val="20"/>
          <w:u w:val="none"/>
        </w:rPr>
        <w:t xml:space="preserve">AQUISIÇÃO DE </w:t>
      </w:r>
      <w:r>
        <w:rPr>
          <w:rFonts w:eastAsia="Arial" w:cs="Arial" w:ascii="Verdana" w:hAnsi="Verdana"/>
          <w:b/>
          <w:bCs/>
          <w:iCs/>
          <w:color w:val="auto"/>
          <w:kern w:val="0"/>
          <w:sz w:val="20"/>
          <w:szCs w:val="20"/>
          <w:u w:val="none"/>
          <w:lang w:val="pt-BR" w:eastAsia="zh-CN" w:bidi="ar-SA"/>
        </w:rPr>
        <w:t xml:space="preserve">KIT RECÉM NASCIDO </w:t>
      </w:r>
    </w:p>
    <w:p>
      <w:pPr>
        <w:pStyle w:val="Normal"/>
        <w:spacing w:lineRule="auto" w:line="240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40"/>
        <w:jc w:val="center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240"/>
        <w:jc w:val="center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i w:val="false"/>
          <w:iCs w:val="false"/>
          <w:color w:val="000000"/>
          <w:sz w:val="20"/>
          <w:szCs w:val="20"/>
        </w:rPr>
        <w:t xml:space="preserve">Processo Administrativo nº </w:t>
      </w:r>
      <w:r>
        <w:rPr>
          <w:rFonts w:eastAsia="Times New Roman" w:cs="Times New Roman" w:ascii="Verdana" w:hAnsi="Verdana"/>
          <w:b/>
          <w:bCs/>
          <w:i w:val="false"/>
          <w:iCs w:val="false"/>
          <w:color w:val="000000"/>
          <w:sz w:val="20"/>
          <w:szCs w:val="20"/>
        </w:rPr>
        <w:t>001828</w:t>
      </w:r>
      <w:r>
        <w:rPr>
          <w:rFonts w:cs="Arial" w:ascii="Verdana" w:hAnsi="Verdana"/>
          <w:b/>
          <w:bCs/>
          <w:i w:val="false"/>
          <w:iCs w:val="false"/>
          <w:color w:val="000000"/>
          <w:sz w:val="20"/>
          <w:szCs w:val="20"/>
        </w:rPr>
        <w:t xml:space="preserve">/2026 de 11 de </w:t>
      </w:r>
      <w:r>
        <w:rPr>
          <w:rFonts w:eastAsia="Times New Roman" w:cs="Arial" w:ascii="Verdana" w:hAnsi="Verdana"/>
          <w:b/>
          <w:bCs/>
          <w:i w:val="false"/>
          <w:iCs w:val="false"/>
          <w:color w:val="000000"/>
          <w:sz w:val="20"/>
          <w:szCs w:val="20"/>
        </w:rPr>
        <w:t>març</w:t>
      </w:r>
      <w:r>
        <w:rPr>
          <w:rFonts w:cs="Arial" w:ascii="Verdana" w:hAnsi="Verdana"/>
          <w:b/>
          <w:bCs/>
          <w:i w:val="false"/>
          <w:iCs w:val="false"/>
          <w:color w:val="000000"/>
          <w:sz w:val="20"/>
          <w:szCs w:val="20"/>
        </w:rPr>
        <w:t>o de 2026 (Secretaria Municipal de Assistência, Desenvolvimento Social e Família)</w:t>
      </w:r>
    </w:p>
    <w:p>
      <w:pPr>
        <w:pStyle w:val="Normal"/>
        <w:spacing w:lineRule="auto" w:line="240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40"/>
        <w:jc w:val="center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240"/>
        <w:jc w:val="center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ivel1"/>
        <w:spacing w:lineRule="auto" w:line="240" w:before="0" w:after="0"/>
        <w:ind w:hanging="0" w:left="0" w:right="0"/>
        <w:rPr>
          <w:rFonts w:ascii="Verdana" w:hAnsi="Verdana"/>
          <w:sz w:val="20"/>
          <w:szCs w:val="20"/>
        </w:rPr>
      </w:pPr>
      <w:r>
        <w:rPr>
          <w:rFonts w:cs="Times New Roman" w:ascii="Verdana" w:hAnsi="Verdana"/>
          <w:bCs/>
          <w:sz w:val="20"/>
          <w:szCs w:val="20"/>
        </w:rPr>
        <w:t>1. DAS CONDIÇÕES GERAIS DA AQUISIÇÃO</w:t>
      </w:r>
    </w:p>
    <w:p>
      <w:pPr>
        <w:pStyle w:val="ListParagraph"/>
        <w:tabs>
          <w:tab w:val="clear" w:pos="708"/>
          <w:tab w:val="left" w:pos="0" w:leader="none"/>
        </w:tabs>
        <w:suppressAutoHyphens w:val="false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</w:rPr>
        <w:t>1.1 Registro de preços</w:t>
      </w:r>
      <w:r>
        <w:rPr>
          <w:rFonts w:ascii="Verdana" w:hAnsi="Verdana"/>
          <w:b/>
          <w:bCs/>
          <w:iCs/>
          <w:sz w:val="20"/>
          <w:szCs w:val="20"/>
        </w:rPr>
        <w:t xml:space="preserve"> </w:t>
      </w:r>
      <w:r>
        <w:rPr>
          <w:rFonts w:ascii="Verdana" w:hAnsi="Verdana"/>
          <w:iCs/>
          <w:sz w:val="20"/>
          <w:szCs w:val="20"/>
        </w:rPr>
        <w:t>para aquisição de kit’s recém nascido a serem ofertados às famílias ou indivíduos em situação de vulnerabilidade social, neste município, para um período de 12 (doze) meses, r</w:t>
      </w:r>
      <w:r>
        <w:rPr>
          <w:rFonts w:eastAsia="Times New Roman" w:cs="Times New Roman" w:ascii="Verdana" w:hAnsi="Verdana"/>
          <w:iCs/>
          <w:color w:val="000000"/>
          <w:sz w:val="20"/>
          <w:szCs w:val="20"/>
        </w:rPr>
        <w:t>elacionados e especificados constantes neste TR e ETP, apêndice dos autos.</w:t>
      </w:r>
    </w:p>
    <w:p>
      <w:pPr>
        <w:pStyle w:val="ListParagraph"/>
        <w:tabs>
          <w:tab w:val="clear" w:pos="708"/>
          <w:tab w:val="left" w:pos="0" w:leader="none"/>
        </w:tabs>
        <w:suppressAutoHyphens w:val="false"/>
        <w:spacing w:lineRule="auto" w:line="240"/>
        <w:ind w:hanging="0" w:left="0" w:right="0"/>
        <w:jc w:val="both"/>
        <w:rPr>
          <w:rFonts w:ascii="Verdana" w:hAnsi="Verdana" w:eastAsia="Times New Roman" w:cs="Times New Roman"/>
          <w:iCs/>
          <w:color w:val="000000"/>
          <w:sz w:val="20"/>
          <w:szCs w:val="20"/>
        </w:rPr>
      </w:pPr>
      <w:r>
        <w:rPr>
          <w:rFonts w:eastAsia="Times New Roman" w:cs="Times New Roman" w:ascii="Verdana" w:hAnsi="Verdana"/>
          <w:iCs/>
          <w:color w:val="000000"/>
          <w:sz w:val="20"/>
          <w:szCs w:val="20"/>
        </w:rPr>
      </w:r>
    </w:p>
    <w:tbl>
      <w:tblPr>
        <w:tblW w:w="9552" w:type="dxa"/>
        <w:jc w:val="center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765"/>
        <w:gridCol w:w="3584"/>
        <w:gridCol w:w="1109"/>
        <w:gridCol w:w="1037"/>
        <w:gridCol w:w="1306"/>
        <w:gridCol w:w="1750"/>
      </w:tblGrid>
      <w:tr>
        <w:trPr>
          <w:trHeight w:val="269" w:hRule="atLeast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/>
                <w:sz w:val="20"/>
                <w:szCs w:val="20"/>
              </w:rPr>
              <w:t>Quant.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/>
                <w:sz w:val="20"/>
                <w:szCs w:val="20"/>
              </w:rPr>
              <w:t>Und.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/>
                <w:sz w:val="20"/>
                <w:szCs w:val="20"/>
              </w:rPr>
              <w:t>Preço unitário</w:t>
            </w:r>
            <w:r>
              <w:rPr>
                <w:rFonts w:cs="Arial" w:ascii="Verdana" w:hAnsi="Verdana"/>
                <w:b/>
                <w:bCs/>
                <w:sz w:val="20"/>
                <w:szCs w:val="20"/>
                <w:u w:val="single"/>
              </w:rPr>
              <w:t xml:space="preserve"> </w:t>
            </w:r>
            <w:r>
              <w:rPr>
                <w:rFonts w:cs="Arial" w:ascii="Verdana" w:hAnsi="Verdana"/>
                <w:b/>
                <w:bCs/>
                <w:sz w:val="20"/>
                <w:szCs w:val="20"/>
                <w:u w:val="none"/>
              </w:rPr>
              <w:t>estimado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/>
                <w:sz w:val="20"/>
                <w:szCs w:val="20"/>
              </w:rPr>
              <w:t>Preço total</w:t>
            </w:r>
            <w:r>
              <w:rPr>
                <w:rFonts w:cs="Arial" w:ascii="Verdana" w:hAnsi="Verdana"/>
                <w:b/>
                <w:bCs/>
                <w:sz w:val="20"/>
                <w:szCs w:val="20"/>
                <w:u w:val="single"/>
              </w:rPr>
              <w:t xml:space="preserve"> </w:t>
            </w:r>
            <w:r>
              <w:rPr>
                <w:rFonts w:cs="Arial" w:ascii="Verdana" w:hAnsi="Verdana"/>
                <w:b/>
                <w:bCs/>
                <w:sz w:val="20"/>
                <w:szCs w:val="20"/>
                <w:u w:val="none"/>
              </w:rPr>
              <w:t>estimado</w:t>
            </w:r>
          </w:p>
        </w:tc>
      </w:tr>
      <w:tr>
        <w:trPr>
          <w:trHeight w:val="269" w:hRule="atLeast"/>
        </w:trPr>
        <w:tc>
          <w:tcPr>
            <w:tcW w:w="7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01</w:t>
            </w:r>
          </w:p>
        </w:tc>
        <w:tc>
          <w:tcPr>
            <w:tcW w:w="35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Banheira para bebês banheira uso infantil modelo: Rígida, drenável  material: plástico tipo encosto: encosto p/ Costas  fixo adicional 1: c/ saboneteira, c/ cor Capacidade máxima: até 25 kg ou 24 litros</w:t>
            </w:r>
          </w:p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Cores verde, branca e amarela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150</w:t>
            </w:r>
          </w:p>
        </w:tc>
        <w:tc>
          <w:tcPr>
            <w:tcW w:w="10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b w:val="false"/>
                <w:bCs w:val="false"/>
                <w:sz w:val="20"/>
                <w:szCs w:val="20"/>
                <w:u w:val="none"/>
                <w:lang w:eastAsia="zh-CN"/>
              </w:rPr>
              <w:t>Und.</w:t>
            </w:r>
          </w:p>
        </w:tc>
        <w:tc>
          <w:tcPr>
            <w:tcW w:w="13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R$ 39,90</w:t>
            </w:r>
          </w:p>
        </w:tc>
        <w:tc>
          <w:tcPr>
            <w:tcW w:w="1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R$ 5.985,00</w:t>
            </w:r>
          </w:p>
        </w:tc>
      </w:tr>
      <w:tr>
        <w:trPr>
          <w:trHeight w:val="269" w:hRule="atLeast"/>
        </w:trPr>
        <w:tc>
          <w:tcPr>
            <w:tcW w:w="7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02</w:t>
            </w:r>
          </w:p>
        </w:tc>
        <w:tc>
          <w:tcPr>
            <w:tcW w:w="35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Cobertor infantil 100% poliéster ou 100% Microfibra, medidas 90cmx110cm unissex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150</w:t>
            </w:r>
          </w:p>
        </w:tc>
        <w:tc>
          <w:tcPr>
            <w:tcW w:w="10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 w:val="false"/>
                <w:bCs w:val="false"/>
                <w:sz w:val="20"/>
                <w:szCs w:val="20"/>
                <w:u w:val="none"/>
                <w:lang w:eastAsia="zh-CN"/>
              </w:rPr>
              <w:t>Und.</w:t>
            </w:r>
          </w:p>
        </w:tc>
        <w:tc>
          <w:tcPr>
            <w:tcW w:w="13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R$ 28,59</w:t>
            </w:r>
          </w:p>
        </w:tc>
        <w:tc>
          <w:tcPr>
            <w:tcW w:w="1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R$ 4.288,50</w:t>
            </w:r>
          </w:p>
        </w:tc>
      </w:tr>
      <w:tr>
        <w:trPr>
          <w:trHeight w:val="344" w:hRule="atLeast"/>
        </w:trPr>
        <w:tc>
          <w:tcPr>
            <w:tcW w:w="7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03</w:t>
            </w:r>
          </w:p>
        </w:tc>
        <w:tc>
          <w:tcPr>
            <w:tcW w:w="35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Colchão de espuma. Colchão tipo: infantil  material: Espuma  densidade: d-18  tecido de revestimento: sarja Bamboo  tamanho largura x comprimento: 0,70 x 1,30 m Tamanho altura: 0,12 m  características adicionais:</w:t>
            </w:r>
          </w:p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Subcategoria berços; tamanho axlxc  para berço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150</w:t>
            </w:r>
          </w:p>
        </w:tc>
        <w:tc>
          <w:tcPr>
            <w:tcW w:w="10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b w:val="false"/>
                <w:bCs w:val="false"/>
                <w:sz w:val="20"/>
                <w:szCs w:val="20"/>
                <w:u w:val="none"/>
                <w:lang w:eastAsia="zh-CN"/>
              </w:rPr>
              <w:t>Und.</w:t>
            </w:r>
          </w:p>
        </w:tc>
        <w:tc>
          <w:tcPr>
            <w:tcW w:w="13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R$ 145,88</w:t>
            </w:r>
          </w:p>
        </w:tc>
        <w:tc>
          <w:tcPr>
            <w:tcW w:w="1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R$ 21.882,00</w:t>
            </w:r>
          </w:p>
        </w:tc>
      </w:tr>
      <w:tr>
        <w:trPr>
          <w:trHeight w:val="269" w:hRule="atLeast"/>
        </w:trPr>
        <w:tc>
          <w:tcPr>
            <w:tcW w:w="7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04</w:t>
            </w:r>
          </w:p>
        </w:tc>
        <w:tc>
          <w:tcPr>
            <w:tcW w:w="35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Conjunto pagão com body 100% algodão, malha penteada, tamanho m nas cores branca, verde, amarelo e vermelho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300</w:t>
            </w:r>
          </w:p>
        </w:tc>
        <w:tc>
          <w:tcPr>
            <w:tcW w:w="10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b w:val="false"/>
                <w:bCs w:val="false"/>
                <w:sz w:val="20"/>
                <w:szCs w:val="20"/>
                <w:u w:val="none"/>
                <w:lang w:eastAsia="zh-CN"/>
              </w:rPr>
              <w:t>Und.</w:t>
            </w:r>
          </w:p>
        </w:tc>
        <w:tc>
          <w:tcPr>
            <w:tcW w:w="13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R$ 22,90</w:t>
            </w:r>
          </w:p>
        </w:tc>
        <w:tc>
          <w:tcPr>
            <w:tcW w:w="1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R$ 6.870,00</w:t>
            </w:r>
          </w:p>
        </w:tc>
      </w:tr>
      <w:tr>
        <w:trPr>
          <w:trHeight w:val="269" w:hRule="atLeast"/>
        </w:trPr>
        <w:tc>
          <w:tcPr>
            <w:tcW w:w="7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05</w:t>
            </w:r>
          </w:p>
        </w:tc>
        <w:tc>
          <w:tcPr>
            <w:tcW w:w="35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Cueiro 100% algodão com acabamento de viés ou bico nas Laterais nas cores branco, verde, amarelo e vermelho. Medidas 70x80cm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300</w:t>
            </w:r>
          </w:p>
        </w:tc>
        <w:tc>
          <w:tcPr>
            <w:tcW w:w="10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 w:val="false"/>
                <w:bCs w:val="false"/>
                <w:sz w:val="20"/>
                <w:szCs w:val="20"/>
                <w:u w:val="none"/>
                <w:lang w:eastAsia="zh-CN"/>
              </w:rPr>
              <w:t>Und.</w:t>
            </w:r>
          </w:p>
        </w:tc>
        <w:tc>
          <w:tcPr>
            <w:tcW w:w="13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R$ 18,50</w:t>
            </w:r>
          </w:p>
        </w:tc>
        <w:tc>
          <w:tcPr>
            <w:tcW w:w="1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R$ 5.850,00</w:t>
            </w:r>
          </w:p>
        </w:tc>
      </w:tr>
      <w:tr>
        <w:trPr>
          <w:trHeight w:val="269" w:hRule="atLeast"/>
        </w:trPr>
        <w:tc>
          <w:tcPr>
            <w:tcW w:w="7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06</w:t>
            </w:r>
          </w:p>
        </w:tc>
        <w:tc>
          <w:tcPr>
            <w:tcW w:w="35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Fralda descartável infantil tamanho M, com barreira anti-vazamento, com gel absorvente, pacote com 72 unidades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 w:val="false"/>
                <w:bCs w:val="false"/>
                <w:sz w:val="20"/>
                <w:szCs w:val="20"/>
                <w:u w:val="none"/>
              </w:rPr>
              <w:t>150</w:t>
            </w:r>
          </w:p>
        </w:tc>
        <w:tc>
          <w:tcPr>
            <w:tcW w:w="10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b w:val="false"/>
                <w:bCs w:val="false"/>
                <w:color w:val="auto"/>
                <w:kern w:val="0"/>
                <w:sz w:val="20"/>
                <w:szCs w:val="20"/>
                <w:u w:val="none"/>
                <w:lang w:val="pt-BR" w:eastAsia="zh-CN" w:bidi="ar-SA"/>
              </w:rPr>
              <w:t>Pct.</w:t>
            </w:r>
          </w:p>
        </w:tc>
        <w:tc>
          <w:tcPr>
            <w:tcW w:w="13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R$ 58,39</w:t>
            </w:r>
          </w:p>
        </w:tc>
        <w:tc>
          <w:tcPr>
            <w:tcW w:w="1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R$ 8.758,50</w:t>
            </w:r>
          </w:p>
        </w:tc>
      </w:tr>
      <w:tr>
        <w:trPr>
          <w:trHeight w:val="269" w:hRule="atLeast"/>
        </w:trPr>
        <w:tc>
          <w:tcPr>
            <w:tcW w:w="7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07</w:t>
            </w:r>
          </w:p>
        </w:tc>
        <w:tc>
          <w:tcPr>
            <w:tcW w:w="35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Fralda descartável infantil tamanho P, com barreira anti-vazamento, com gel absorvente, pacote  com 80 unidades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 w:val="false"/>
                <w:bCs w:val="false"/>
                <w:sz w:val="20"/>
                <w:szCs w:val="20"/>
                <w:u w:val="none"/>
              </w:rPr>
              <w:t>150</w:t>
            </w:r>
          </w:p>
        </w:tc>
        <w:tc>
          <w:tcPr>
            <w:tcW w:w="10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 w:val="false"/>
                <w:bCs w:val="false"/>
                <w:color w:val="auto"/>
                <w:kern w:val="0"/>
                <w:sz w:val="20"/>
                <w:szCs w:val="20"/>
                <w:u w:val="none"/>
                <w:lang w:val="pt-BR" w:eastAsia="zh-CN" w:bidi="ar-SA"/>
              </w:rPr>
              <w:t>Pct</w:t>
            </w:r>
            <w:r>
              <w:rPr>
                <w:rFonts w:eastAsia="Times New Roman" w:cs="Arial" w:ascii="Verdana" w:hAnsi="Verdana"/>
                <w:b w:val="false"/>
                <w:bCs w:val="false"/>
                <w:sz w:val="20"/>
                <w:szCs w:val="20"/>
                <w:u w:val="none"/>
                <w:lang w:eastAsia="zh-CN"/>
              </w:rPr>
              <w:t>.</w:t>
            </w:r>
          </w:p>
        </w:tc>
        <w:tc>
          <w:tcPr>
            <w:tcW w:w="13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R$ 47,90</w:t>
            </w:r>
          </w:p>
        </w:tc>
        <w:tc>
          <w:tcPr>
            <w:tcW w:w="1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R$ 7.185,00</w:t>
            </w:r>
          </w:p>
        </w:tc>
      </w:tr>
      <w:tr>
        <w:trPr>
          <w:trHeight w:val="269" w:hRule="atLeast"/>
        </w:trPr>
        <w:tc>
          <w:tcPr>
            <w:tcW w:w="7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08</w:t>
            </w:r>
          </w:p>
        </w:tc>
        <w:tc>
          <w:tcPr>
            <w:tcW w:w="35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Jogo de lençol de berço com 02 peças, fronha e lençol com elástico, em malha penteada, 100% algodão, na cor branca, com pintura em tema infantil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 w:val="false"/>
                <w:bCs w:val="false"/>
                <w:sz w:val="20"/>
                <w:szCs w:val="20"/>
                <w:u w:val="none"/>
              </w:rPr>
              <w:t>150</w:t>
            </w:r>
          </w:p>
        </w:tc>
        <w:tc>
          <w:tcPr>
            <w:tcW w:w="10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 w:val="false"/>
                <w:bCs w:val="false"/>
                <w:color w:val="auto"/>
                <w:kern w:val="0"/>
                <w:sz w:val="20"/>
                <w:szCs w:val="20"/>
                <w:u w:val="none"/>
                <w:lang w:val="pt-BR" w:eastAsia="zh-CN" w:bidi="ar-SA"/>
              </w:rPr>
              <w:t>Jg.</w:t>
            </w:r>
          </w:p>
        </w:tc>
        <w:tc>
          <w:tcPr>
            <w:tcW w:w="13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R$ 39,00</w:t>
            </w:r>
          </w:p>
        </w:tc>
        <w:tc>
          <w:tcPr>
            <w:tcW w:w="1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R$ 5.850,00</w:t>
            </w:r>
          </w:p>
        </w:tc>
      </w:tr>
      <w:tr>
        <w:trPr>
          <w:trHeight w:val="269" w:hRule="atLeast"/>
        </w:trPr>
        <w:tc>
          <w:tcPr>
            <w:tcW w:w="7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09</w:t>
            </w:r>
          </w:p>
        </w:tc>
        <w:tc>
          <w:tcPr>
            <w:tcW w:w="35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Kit com 3 mamadeiras em polipropileno e bico de silicone ortodôntico, cor verde, branca ou</w:t>
            </w:r>
          </w:p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Amarela sendo:</w:t>
            </w:r>
          </w:p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- 01 mamadeira de 260 ml com bico de silicone ortodôntico;</w:t>
            </w:r>
          </w:p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- 01 mamadeira de 120 ml com bico de silicone ortodôntico;</w:t>
            </w:r>
          </w:p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- 01 mamadeira de 50 ml com bico de silicone ortodôntico.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150</w:t>
            </w:r>
          </w:p>
        </w:tc>
        <w:tc>
          <w:tcPr>
            <w:tcW w:w="10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Kit</w:t>
            </w:r>
          </w:p>
        </w:tc>
        <w:tc>
          <w:tcPr>
            <w:tcW w:w="13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R$ 49,90</w:t>
            </w:r>
          </w:p>
        </w:tc>
        <w:tc>
          <w:tcPr>
            <w:tcW w:w="1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R$ 7.485,00</w:t>
            </w:r>
          </w:p>
        </w:tc>
      </w:tr>
      <w:tr>
        <w:trPr>
          <w:trHeight w:val="269" w:hRule="atLeast"/>
        </w:trPr>
        <w:tc>
          <w:tcPr>
            <w:tcW w:w="7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10</w:t>
            </w:r>
          </w:p>
        </w:tc>
        <w:tc>
          <w:tcPr>
            <w:tcW w:w="35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Kit contendo gorro, luva e sapatinho, malha penteada, 100% algodão nas cores verde, amarelo, vermelho e branco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150</w:t>
            </w:r>
          </w:p>
        </w:tc>
        <w:tc>
          <w:tcPr>
            <w:tcW w:w="10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Kit.</w:t>
            </w:r>
          </w:p>
        </w:tc>
        <w:tc>
          <w:tcPr>
            <w:tcW w:w="13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R$ 6,50</w:t>
            </w:r>
          </w:p>
        </w:tc>
        <w:tc>
          <w:tcPr>
            <w:tcW w:w="1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R$ 975,00</w:t>
            </w:r>
          </w:p>
        </w:tc>
      </w:tr>
      <w:tr>
        <w:trPr>
          <w:trHeight w:val="269" w:hRule="atLeast"/>
        </w:trPr>
        <w:tc>
          <w:tcPr>
            <w:tcW w:w="7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11</w:t>
            </w:r>
          </w:p>
        </w:tc>
        <w:tc>
          <w:tcPr>
            <w:tcW w:w="35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Mantilha de tecido 100% algodão, com babados e</w:t>
            </w:r>
          </w:p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Acabamentos em bico, com forro 100% algodão, Com pintura ou bordados, medindo 0,85 x 0,85 cm, na cor verde,</w:t>
            </w:r>
          </w:p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Amarelo e vermelho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300</w:t>
            </w:r>
          </w:p>
        </w:tc>
        <w:tc>
          <w:tcPr>
            <w:tcW w:w="10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Und.</w:t>
            </w:r>
          </w:p>
        </w:tc>
        <w:tc>
          <w:tcPr>
            <w:tcW w:w="13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R$ 41,82</w:t>
            </w:r>
          </w:p>
        </w:tc>
        <w:tc>
          <w:tcPr>
            <w:tcW w:w="1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R$ 12.546,00</w:t>
            </w:r>
          </w:p>
        </w:tc>
      </w:tr>
      <w:tr>
        <w:trPr>
          <w:trHeight w:val="269" w:hRule="atLeast"/>
        </w:trPr>
        <w:tc>
          <w:tcPr>
            <w:tcW w:w="7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12</w:t>
            </w:r>
          </w:p>
        </w:tc>
        <w:tc>
          <w:tcPr>
            <w:tcW w:w="35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Meias para recém-nascido fabricada em malha, poliéster e elastano</w:t>
            </w:r>
          </w:p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Par. Unissex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150</w:t>
            </w:r>
          </w:p>
        </w:tc>
        <w:tc>
          <w:tcPr>
            <w:tcW w:w="10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Und.</w:t>
            </w:r>
          </w:p>
        </w:tc>
        <w:tc>
          <w:tcPr>
            <w:tcW w:w="13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R$ 4,30</w:t>
            </w:r>
          </w:p>
        </w:tc>
        <w:tc>
          <w:tcPr>
            <w:tcW w:w="1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R$ 645,00</w:t>
            </w:r>
          </w:p>
        </w:tc>
      </w:tr>
      <w:tr>
        <w:trPr>
          <w:trHeight w:val="269" w:hRule="atLeast"/>
        </w:trPr>
        <w:tc>
          <w:tcPr>
            <w:tcW w:w="7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13</w:t>
            </w:r>
          </w:p>
        </w:tc>
        <w:tc>
          <w:tcPr>
            <w:tcW w:w="35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Pano de boca em tecido fralda dupla, acabamento em viés ou bico nas laterais, 100% algodão, nas cores branco, amarelo, vermelho e verde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300</w:t>
            </w:r>
          </w:p>
        </w:tc>
        <w:tc>
          <w:tcPr>
            <w:tcW w:w="10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Und.</w:t>
            </w:r>
          </w:p>
        </w:tc>
        <w:tc>
          <w:tcPr>
            <w:tcW w:w="13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R$ 7,00</w:t>
            </w:r>
          </w:p>
        </w:tc>
        <w:tc>
          <w:tcPr>
            <w:tcW w:w="1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R$ 2.100,00</w:t>
            </w:r>
          </w:p>
        </w:tc>
      </w:tr>
      <w:tr>
        <w:trPr>
          <w:trHeight w:val="269" w:hRule="atLeast"/>
        </w:trPr>
        <w:tc>
          <w:tcPr>
            <w:tcW w:w="7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14</w:t>
            </w:r>
          </w:p>
        </w:tc>
        <w:tc>
          <w:tcPr>
            <w:tcW w:w="35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Sabonete cremoso para bebê, 90 gramas pele delicada, glicerinado, dermatologicamente testado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300</w:t>
            </w:r>
          </w:p>
        </w:tc>
        <w:tc>
          <w:tcPr>
            <w:tcW w:w="10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Und.</w:t>
            </w:r>
          </w:p>
        </w:tc>
        <w:tc>
          <w:tcPr>
            <w:tcW w:w="13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R$ 3,70</w:t>
            </w:r>
          </w:p>
        </w:tc>
        <w:tc>
          <w:tcPr>
            <w:tcW w:w="1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R$ 1.110,00</w:t>
            </w:r>
          </w:p>
        </w:tc>
      </w:tr>
      <w:tr>
        <w:trPr>
          <w:trHeight w:val="269" w:hRule="atLeast"/>
        </w:trPr>
        <w:tc>
          <w:tcPr>
            <w:tcW w:w="7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15</w:t>
            </w:r>
          </w:p>
        </w:tc>
        <w:tc>
          <w:tcPr>
            <w:tcW w:w="35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Sacola em tnt em cores pastéis pérola, branca, verde ou amarelo com amarração para fechamento, para acondicionamento de kit bebê.</w:t>
            </w:r>
          </w:p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Tamanho 125x70 cm, com laço em fita de cetim para amarração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150</w:t>
            </w:r>
          </w:p>
        </w:tc>
        <w:tc>
          <w:tcPr>
            <w:tcW w:w="10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Und.</w:t>
            </w:r>
          </w:p>
        </w:tc>
        <w:tc>
          <w:tcPr>
            <w:tcW w:w="13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R$ 25,90</w:t>
            </w:r>
          </w:p>
        </w:tc>
        <w:tc>
          <w:tcPr>
            <w:tcW w:w="1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R$ 3.885,00</w:t>
            </w:r>
          </w:p>
        </w:tc>
      </w:tr>
      <w:tr>
        <w:trPr>
          <w:trHeight w:val="269" w:hRule="atLeast"/>
        </w:trPr>
        <w:tc>
          <w:tcPr>
            <w:tcW w:w="7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16</w:t>
            </w:r>
          </w:p>
        </w:tc>
        <w:tc>
          <w:tcPr>
            <w:tcW w:w="35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Fralda de tecido branca, 100% algodão, medindo 65cm x 65cm, super luxo, tecido duplo, pacote com 05 unidades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150</w:t>
            </w:r>
          </w:p>
        </w:tc>
        <w:tc>
          <w:tcPr>
            <w:tcW w:w="10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pt-BR" w:bidi="ar-SA"/>
              </w:rPr>
              <w:t>Pac.</w:t>
            </w:r>
          </w:p>
        </w:tc>
        <w:tc>
          <w:tcPr>
            <w:tcW w:w="13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R$ 25,00</w:t>
            </w:r>
          </w:p>
        </w:tc>
        <w:tc>
          <w:tcPr>
            <w:tcW w:w="1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R$ 3.750,00</w:t>
            </w:r>
          </w:p>
        </w:tc>
      </w:tr>
      <w:tr>
        <w:trPr>
          <w:trHeight w:val="269" w:hRule="atLeast"/>
        </w:trPr>
        <w:tc>
          <w:tcPr>
            <w:tcW w:w="7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17</w:t>
            </w:r>
          </w:p>
        </w:tc>
        <w:tc>
          <w:tcPr>
            <w:tcW w:w="35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Toalha de banho para bebê, tecido fralda, 100% algodão, na cor branca tecido fralda dupla com bico ou viés nas laterais, nas cores verde, amarelo e vermelho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150</w:t>
            </w:r>
          </w:p>
        </w:tc>
        <w:tc>
          <w:tcPr>
            <w:tcW w:w="10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Und.</w:t>
            </w:r>
          </w:p>
        </w:tc>
        <w:tc>
          <w:tcPr>
            <w:tcW w:w="13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R$ 28,90</w:t>
            </w:r>
          </w:p>
        </w:tc>
        <w:tc>
          <w:tcPr>
            <w:tcW w:w="1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R$ 4.335,00</w:t>
            </w:r>
          </w:p>
        </w:tc>
      </w:tr>
      <w:tr>
        <w:trPr>
          <w:trHeight w:val="269" w:hRule="atLeast"/>
        </w:trPr>
        <w:tc>
          <w:tcPr>
            <w:tcW w:w="7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18</w:t>
            </w:r>
          </w:p>
        </w:tc>
        <w:tc>
          <w:tcPr>
            <w:tcW w:w="35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Shampoo infantil 200 ml, ph balanceado, isento de sabão e álcool, fragrância suave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300</w:t>
            </w:r>
          </w:p>
        </w:tc>
        <w:tc>
          <w:tcPr>
            <w:tcW w:w="10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Und.</w:t>
            </w:r>
          </w:p>
        </w:tc>
        <w:tc>
          <w:tcPr>
            <w:tcW w:w="13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R$ 13,89</w:t>
            </w:r>
          </w:p>
        </w:tc>
        <w:tc>
          <w:tcPr>
            <w:tcW w:w="1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R$ 2.083,50</w:t>
            </w:r>
          </w:p>
        </w:tc>
      </w:tr>
      <w:tr>
        <w:trPr>
          <w:trHeight w:val="269" w:hRule="atLeast"/>
        </w:trPr>
        <w:tc>
          <w:tcPr>
            <w:tcW w:w="7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19</w:t>
            </w:r>
          </w:p>
        </w:tc>
        <w:tc>
          <w:tcPr>
            <w:tcW w:w="35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Pomada para assadura tratamento e prevenção, devendo conter – nistatina + óxido de zinco, tubo mínimo 60 gramas.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20</w:t>
            </w:r>
          </w:p>
        </w:tc>
        <w:tc>
          <w:tcPr>
            <w:tcW w:w="10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Und.</w:t>
            </w:r>
          </w:p>
        </w:tc>
        <w:tc>
          <w:tcPr>
            <w:tcW w:w="13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R$ 20,00</w:t>
            </w:r>
          </w:p>
        </w:tc>
        <w:tc>
          <w:tcPr>
            <w:tcW w:w="1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R$ 3.000,00</w:t>
            </w:r>
          </w:p>
        </w:tc>
      </w:tr>
      <w:tr>
        <w:trPr>
          <w:trHeight w:val="206" w:hRule="atLeast"/>
        </w:trPr>
        <w:tc>
          <w:tcPr>
            <w:tcW w:w="9551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VALOR TOTAL ESTIMADO: R$ 108.583,50 (cento  e oito mil quinhentos e oitenta e três reais e cinquenta centavos)</w:t>
            </w:r>
          </w:p>
        </w:tc>
      </w:tr>
    </w:tbl>
    <w:p>
      <w:pPr>
        <w:pStyle w:val="Normal"/>
        <w:widowControl w:val="false"/>
        <w:tabs>
          <w:tab w:val="clear" w:pos="708"/>
          <w:tab w:val="left" w:pos="0" w:leader="none"/>
        </w:tabs>
        <w:suppressAutoHyphens w:val="false"/>
        <w:spacing w:lineRule="auto" w:line="240"/>
        <w:ind w:hanging="0" w:left="0" w:right="0"/>
        <w:jc w:val="both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uppressAutoHyphens w:val="false"/>
        <w:spacing w:lineRule="auto" w:line="240"/>
        <w:ind w:hanging="0" w:left="-22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</w:rPr>
        <w:t>1.2</w:t>
      </w:r>
      <w:bookmarkStart w:id="0" w:name="art23§711"/>
      <w:bookmarkStart w:id="1" w:name="art23§73"/>
      <w:r>
        <w:rPr>
          <w:rFonts w:ascii="Verdana" w:hAnsi="Verdana"/>
          <w:b w:val="false"/>
          <w:bCs w:val="false"/>
          <w:iCs/>
          <w:sz w:val="20"/>
          <w:szCs w:val="20"/>
        </w:rPr>
        <w:t>. Os produtos propostos deverão, obrigatoriamente, atender as exigências de qualidade, observados os padrões e normas baixadas pelos órgãos competentes de controle e fiscalização de qualidade industrial ou equiparadas.</w:t>
      </w:r>
    </w:p>
    <w:p>
      <w:pPr>
        <w:pStyle w:val="ListParagraph"/>
        <w:suppressAutoHyphens w:val="false"/>
        <w:spacing w:lineRule="auto" w:line="240"/>
        <w:ind w:hanging="0" w:left="-22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</w:rPr>
        <w:t>1.3.</w:t>
      </w:r>
      <w:r>
        <w:rPr>
          <w:rFonts w:ascii="Verdana" w:hAnsi="Verdana"/>
          <w:b w:val="false"/>
          <w:bCs w:val="false"/>
          <w:iCs/>
          <w:sz w:val="20"/>
          <w:szCs w:val="20"/>
          <w:u w:val="none"/>
        </w:rPr>
        <w:t xml:space="preserve"> </w:t>
      </w:r>
      <w:r>
        <w:rPr>
          <w:rFonts w:cs="Arial" w:ascii="Verdana" w:hAnsi="Verdana"/>
          <w:b w:val="false"/>
          <w:bCs w:val="false"/>
          <w:iCs/>
          <w:color w:val="000000"/>
          <w:sz w:val="20"/>
          <w:szCs w:val="20"/>
          <w:u w:val="none"/>
        </w:rPr>
        <w:t xml:space="preserve">O prazo de vigência da </w:t>
      </w:r>
      <w:r>
        <w:rPr>
          <w:rFonts w:eastAsia="Times New Roman" w:cs="Arial" w:ascii="Verdana" w:hAnsi="Verdana"/>
          <w:b w:val="false"/>
          <w:bCs w:val="false"/>
          <w:iCs/>
          <w:color w:val="000000"/>
          <w:sz w:val="20"/>
          <w:szCs w:val="20"/>
          <w:u w:val="none"/>
        </w:rPr>
        <w:t>aquisição</w:t>
      </w:r>
      <w:r>
        <w:rPr>
          <w:rFonts w:cs="Arial" w:ascii="Verdana" w:hAnsi="Verdana"/>
          <w:b w:val="false"/>
          <w:bCs w:val="false"/>
          <w:iCs/>
          <w:color w:val="000000"/>
          <w:sz w:val="20"/>
          <w:szCs w:val="20"/>
          <w:u w:val="none"/>
        </w:rPr>
        <w:t xml:space="preserve"> será de 12 (</w:t>
      </w:r>
      <w:r>
        <w:rPr>
          <w:rFonts w:eastAsia="Times New Roman" w:cs="Arial" w:ascii="Verdana" w:hAnsi="Verdana"/>
          <w:b w:val="false"/>
          <w:bCs w:val="false"/>
          <w:iCs/>
          <w:color w:val="000000"/>
          <w:sz w:val="20"/>
          <w:szCs w:val="20"/>
          <w:u w:val="none"/>
        </w:rPr>
        <w:t>meses</w:t>
      </w:r>
      <w:r>
        <w:rPr>
          <w:rFonts w:cs="Arial" w:ascii="Verdana" w:hAnsi="Verdana"/>
          <w:b w:val="false"/>
          <w:bCs w:val="false"/>
          <w:iCs/>
          <w:color w:val="000000"/>
          <w:sz w:val="20"/>
          <w:szCs w:val="20"/>
          <w:u w:val="none"/>
        </w:rPr>
        <w:t xml:space="preserve">) </w:t>
      </w:r>
      <w:r>
        <w:rPr>
          <w:rFonts w:cs="Arial" w:ascii="Verdana" w:hAnsi="Verdana"/>
          <w:b w:val="false"/>
          <w:bCs w:val="false"/>
          <w:iCs/>
          <w:color w:val="FF0000"/>
          <w:sz w:val="20"/>
          <w:szCs w:val="20"/>
          <w:u w:val="none"/>
        </w:rPr>
        <w:t xml:space="preserve"> </w:t>
      </w:r>
      <w:r>
        <w:rPr>
          <w:rFonts w:cs="Arial" w:ascii="Verdana" w:hAnsi="Verdana"/>
          <w:b w:val="false"/>
          <w:bCs w:val="false"/>
          <w:iCs/>
          <w:color w:val="000000"/>
          <w:sz w:val="20"/>
          <w:szCs w:val="20"/>
          <w:u w:val="none"/>
        </w:rPr>
        <w:t>contados a partir da assinatura da Ata de Registro de Preços.</w:t>
      </w:r>
    </w:p>
    <w:p>
      <w:pPr>
        <w:pStyle w:val="ListParagraph"/>
        <w:tabs>
          <w:tab w:val="clear" w:pos="708"/>
          <w:tab w:val="left" w:pos="0" w:leader="none"/>
        </w:tabs>
        <w:suppressAutoHyphens w:val="false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1.4. O custo estimado total da aquisição é de</w:t>
      </w:r>
      <w:r>
        <w:rPr>
          <w:rFonts w:eastAsia="Times New Roman" w:cs="Times New Roman" w:ascii="Verdana" w:hAnsi="Verdana"/>
          <w:b w:val="false"/>
          <w:bCs w:val="false"/>
          <w:i/>
          <w:iCs/>
          <w:color w:val="FF0000"/>
          <w:sz w:val="20"/>
          <w:szCs w:val="20"/>
        </w:rPr>
        <w:t xml:space="preserve"> 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lang w:eastAsia="zh-CN"/>
        </w:rPr>
        <w:t>R$ 108.583,50 (cento  e oito mil quinhentos e oitenta e três reais e cinquenta centavos)</w:t>
      </w:r>
      <w:r>
        <w:rPr>
          <w:rFonts w:eastAsia="Times New Roman" w:cs="Times New Roman" w:ascii="Verdana" w:hAnsi="Verdana"/>
          <w:b w:val="false"/>
          <w:bCs w:val="false"/>
          <w:i/>
          <w:iCs/>
          <w:color w:val="000000"/>
          <w:sz w:val="20"/>
          <w:szCs w:val="20"/>
        </w:rPr>
        <w:t xml:space="preserve"> </w:t>
      </w: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conforme custos unitários  apostos nos orçame</w:t>
      </w:r>
      <w:r>
        <w:rPr>
          <w:rFonts w:eastAsia="Times New Roman" w:cs="Times New Roman" w:ascii="Verdana" w:hAnsi="Verdana"/>
          <w:iCs/>
          <w:color w:val="000000"/>
          <w:sz w:val="20"/>
          <w:szCs w:val="20"/>
        </w:rPr>
        <w:t>ntos e no quadro comparativo de preços simples em anexo.</w:t>
      </w:r>
    </w:p>
    <w:p>
      <w:pPr>
        <w:pStyle w:val="ListParagraph"/>
        <w:tabs>
          <w:tab w:val="clear" w:pos="708"/>
          <w:tab w:val="left" w:pos="0" w:leader="none"/>
        </w:tabs>
        <w:suppressAutoHyphens w:val="false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  <w:u w:val="none"/>
        </w:rPr>
        <w:t xml:space="preserve">1.5. </w:t>
      </w:r>
      <w:r>
        <w:rPr>
          <w:rFonts w:cs="Verdana" w:ascii="Verdana" w:hAnsi="Verdana"/>
          <w:b w:val="false"/>
          <w:bCs w:val="false"/>
          <w:sz w:val="20"/>
          <w:szCs w:val="20"/>
          <w:u w:val="none"/>
        </w:rPr>
        <w:t>O preço a ser registrado já inclui todas as despesas necessárias ao fornecimento do objeto da ata, sem quaisquer ônus para a Prefeitura Municipal de São Gabriel da Palha – ES no que se refere a fretes, tributos e outros.</w:t>
      </w:r>
    </w:p>
    <w:p>
      <w:pPr>
        <w:pStyle w:val="ListParagraph"/>
        <w:tabs>
          <w:tab w:val="clear" w:pos="708"/>
          <w:tab w:val="left" w:pos="0" w:leader="none"/>
        </w:tabs>
        <w:suppressAutoHyphens w:val="false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  <w:u w:val="none"/>
        </w:rPr>
        <w:t>1.6. Os preços registrados poderão ser revistos em decorrência de eventual redução dos preços praticados no mercado ou de fato que eleve o custo dos serviços ou bens registrados, cabendo ao Órgão Gerenciador promover as negociações junto aos fornecedores, observadas as disposições contidas na Lei Federal nº 14.133/2021 e no Decreto Municipal nº 3.609/2023.</w:t>
      </w:r>
    </w:p>
    <w:p>
      <w:pPr>
        <w:pStyle w:val="Normal"/>
        <w:suppressAutoHyphens w:val="false"/>
        <w:spacing w:lineRule="auto" w:line="240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sz w:val="20"/>
          <w:szCs w:val="20"/>
        </w:rPr>
        <w:t xml:space="preserve">1.6.1. Em caso de força maior, caso fortuito ou fato do príncipe ou em decorrência de fatos imprevisíveis ou previsíveis de consequências incalculáveis, que inviabilizem a execução da ata tal como pactuada, nos termos da alínea “d” do inciso II do caput do art. 124 da </w:t>
      </w:r>
      <w:bookmarkStart w:id="2" w:name="_Hlk143593028"/>
      <w:r>
        <w:rPr>
          <w:rFonts w:cs="Verdana" w:ascii="Verdana" w:hAnsi="Verdana"/>
          <w:sz w:val="20"/>
          <w:szCs w:val="20"/>
        </w:rPr>
        <w:t>Lei nº 14.133, de 2021</w:t>
      </w:r>
      <w:bookmarkEnd w:id="2"/>
      <w:r>
        <w:rPr>
          <w:rFonts w:cs="Verdana" w:ascii="Verdana" w:hAnsi="Verdana"/>
          <w:sz w:val="20"/>
          <w:szCs w:val="20"/>
        </w:rPr>
        <w:t>;</w:t>
      </w:r>
    </w:p>
    <w:p>
      <w:pPr>
        <w:pStyle w:val="Normal"/>
        <w:suppressAutoHyphens w:val="false"/>
        <w:spacing w:lineRule="auto" w:line="240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sz w:val="20"/>
          <w:szCs w:val="20"/>
          <w:lang w:eastAsia="pt-BR"/>
        </w:rPr>
        <w:t xml:space="preserve">1.6.2 </w:t>
      </w:r>
      <w:r>
        <w:rPr>
          <w:rFonts w:cs="Verdana" w:ascii="Verdana" w:hAnsi="Verdana"/>
          <w:sz w:val="20"/>
          <w:szCs w:val="20"/>
        </w:rPr>
        <w:t>Em caso de criação, alteração ou ex</w:t>
      </w:r>
      <w:r>
        <w:rPr>
          <w:rFonts w:eastAsia="Calibri" w:cs="Verdana" w:ascii="Verdana" w:hAnsi="Verdana"/>
          <w:sz w:val="20"/>
          <w:szCs w:val="20"/>
        </w:rPr>
        <w:t>ti</w:t>
      </w:r>
      <w:r>
        <w:rPr>
          <w:rFonts w:cs="Verdana" w:ascii="Verdana" w:hAnsi="Verdana"/>
          <w:sz w:val="20"/>
          <w:szCs w:val="20"/>
        </w:rPr>
        <w:t>nção de quaisquer tributos ou encargos legais ou a superveniência de disposições legais, com comprovada repercussão sobre os preços registrados;</w:t>
      </w:r>
    </w:p>
    <w:p>
      <w:pPr>
        <w:pStyle w:val="Nvel3-R"/>
        <w:numPr>
          <w:ilvl w:val="0"/>
          <w:numId w:val="0"/>
        </w:numPr>
        <w:tabs>
          <w:tab w:val="clear" w:pos="708"/>
          <w:tab w:val="left" w:pos="510" w:leader="none"/>
        </w:tabs>
        <w:spacing w:lineRule="auto" w:line="240" w:before="57" w:after="57"/>
        <w:ind w:hanging="0" w:left="0" w:right="0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1.6.3.</w:t>
      </w:r>
      <w:r>
        <w:rPr>
          <w:rFonts w:cs="Verdana" w:ascii="Verdana" w:hAnsi="Verdana"/>
          <w:b/>
          <w:bCs/>
          <w:i w:val="false"/>
          <w:iCs w:val="false"/>
          <w:color w:val="000000"/>
          <w:sz w:val="20"/>
          <w:szCs w:val="20"/>
        </w:rPr>
        <w:t xml:space="preserve"> </w:t>
      </w:r>
      <w:r>
        <w:rPr>
          <w:rFonts w:cs="Verdana" w:ascii="Verdana" w:hAnsi="Verdana"/>
          <w:i w:val="false"/>
          <w:iCs w:val="false"/>
          <w:color w:val="000000"/>
          <w:sz w:val="20"/>
          <w:szCs w:val="20"/>
        </w:rPr>
        <w:t>Na hipótese de previsão no edital ou no aviso de contratação direta de cláusula de reajustamento ou repactuação sobre os preços registrados, nos termos da Lei nº 14.133, de 2021.</w:t>
      </w:r>
    </w:p>
    <w:p>
      <w:pPr>
        <w:pStyle w:val="Nvel4"/>
        <w:numPr>
          <w:ilvl w:val="0"/>
          <w:numId w:val="0"/>
        </w:numPr>
        <w:tabs>
          <w:tab w:val="clear" w:pos="708"/>
          <w:tab w:val="left" w:pos="567" w:leader="none"/>
          <w:tab w:val="left" w:pos="1185" w:leader="none"/>
        </w:tabs>
        <w:spacing w:lineRule="auto" w:line="240" w:before="57" w:after="57"/>
        <w:ind w:hanging="0" w:left="0" w:right="0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/>
          <w:bCs/>
          <w:sz w:val="20"/>
          <w:szCs w:val="20"/>
        </w:rPr>
        <w:t xml:space="preserve">1.6.3.1 </w:t>
      </w:r>
      <w:r>
        <w:rPr>
          <w:rFonts w:cs="Arial" w:ascii="Verdana" w:hAnsi="Verdana"/>
          <w:b/>
          <w:bCs/>
          <w:sz w:val="20"/>
          <w:szCs w:val="20"/>
          <w:u w:val="none"/>
        </w:rPr>
        <w:t>No caso de reajustamento, deverá ser respeitada a contagem da anualidade e a utilização do índice INPC</w:t>
      </w:r>
      <w:r>
        <w:rPr>
          <w:rFonts w:cs="Verdana" w:ascii="Verdana" w:hAnsi="Verdana"/>
          <w:b/>
          <w:bCs/>
          <w:sz w:val="20"/>
          <w:szCs w:val="20"/>
        </w:rPr>
        <w:t>;</w:t>
      </w:r>
    </w:p>
    <w:p>
      <w:pPr>
        <w:pStyle w:val="Nvel4"/>
        <w:numPr>
          <w:ilvl w:val="0"/>
          <w:numId w:val="0"/>
        </w:numPr>
        <w:tabs>
          <w:tab w:val="clear" w:pos="708"/>
          <w:tab w:val="left" w:pos="567" w:leader="none"/>
          <w:tab w:val="left" w:pos="1185" w:leader="none"/>
        </w:tabs>
        <w:spacing w:lineRule="auto" w:line="240" w:before="0" w:after="0"/>
        <w:ind w:hanging="0" w:left="0" w:right="0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sz w:val="20"/>
          <w:szCs w:val="20"/>
        </w:rPr>
        <w:t>1.6.3.2 No caso da repactuação, poderá ser a pedido do interessado, conforme critérios definidos para a contratação.</w:t>
      </w:r>
    </w:p>
    <w:p>
      <w:pPr>
        <w:pStyle w:val="Nivel1"/>
        <w:spacing w:lineRule="auto" w:line="240" w:before="0" w:after="0"/>
        <w:ind w:hanging="0" w:left="0" w:right="0"/>
        <w:rPr>
          <w:rFonts w:ascii="Verdana" w:hAnsi="Verdana" w:cs="Times New Roman"/>
          <w:bCs/>
          <w:sz w:val="20"/>
          <w:szCs w:val="20"/>
        </w:rPr>
      </w:pPr>
      <w:r>
        <w:rPr>
          <w:rFonts w:cs="Times New Roman" w:ascii="Verdana" w:hAnsi="Verdana"/>
          <w:bCs/>
          <w:sz w:val="20"/>
          <w:szCs w:val="20"/>
        </w:rPr>
      </w:r>
    </w:p>
    <w:p>
      <w:pPr>
        <w:pStyle w:val="Nivel1"/>
        <w:spacing w:lineRule="auto" w:line="240" w:before="0" w:after="0"/>
        <w:ind w:hanging="0" w:left="0" w:right="0"/>
        <w:rPr>
          <w:rFonts w:ascii="Verdana" w:hAnsi="Verdana"/>
          <w:sz w:val="20"/>
          <w:szCs w:val="20"/>
        </w:rPr>
      </w:pPr>
      <w:bookmarkStart w:id="3" w:name="page68R_mcid7"/>
      <w:bookmarkStart w:id="4" w:name="art23§71"/>
      <w:bookmarkEnd w:id="3"/>
      <w:bookmarkEnd w:id="4"/>
      <w:r>
        <w:rPr>
          <w:rFonts w:cs="Times New Roman" w:ascii="Verdana" w:hAnsi="Verdana"/>
          <w:bCs/>
          <w:sz w:val="20"/>
          <w:szCs w:val="20"/>
        </w:rPr>
        <w:t>2. FUNDAMENTAÇÃO E DESCRIÇÃO DA NECESSIDADE DA AQUISIÇÃO</w:t>
      </w:r>
    </w:p>
    <w:p>
      <w:pPr>
        <w:pStyle w:val="ListParagraph"/>
        <w:widowControl/>
        <w:suppressAutoHyphens w:val="true"/>
        <w:bidi w:val="0"/>
        <w:spacing w:lineRule="auto" w:line="240" w:before="0" w:after="0"/>
        <w:ind w:hanging="0" w:left="0" w:righ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 xml:space="preserve">2.1. </w:t>
      </w:r>
      <w:r>
        <w:rPr>
          <w:rFonts w:ascii="Verdana" w:hAnsi="Verdana"/>
          <w:b w:val="false"/>
          <w:bCs w:val="false"/>
          <w:sz w:val="20"/>
          <w:szCs w:val="20"/>
        </w:rPr>
        <w:t xml:space="preserve">Contratação de empresa especializada, para o registro de preços de </w:t>
      </w:r>
      <w:r>
        <w:rPr>
          <w:rFonts w:eastAsia="Calibri" w:cs="Calibri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150</w:t>
      </w:r>
      <w:r>
        <w:rPr>
          <w:rFonts w:ascii="Verdana" w:hAnsi="Verdana"/>
          <w:b w:val="false"/>
          <w:bCs w:val="false"/>
          <w:sz w:val="20"/>
          <w:szCs w:val="20"/>
        </w:rPr>
        <w:t xml:space="preserve"> kits  recém nascido,</w:t>
      </w:r>
      <w:r>
        <w:rPr>
          <w:rFonts w:eastAsia="Calibri" w:cs="Calibri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 xml:space="preserve"> por</w:t>
      </w:r>
      <w:r>
        <w:rPr>
          <w:rFonts w:ascii="Verdana" w:hAnsi="Verdana"/>
          <w:b w:val="false"/>
          <w:bCs w:val="false"/>
          <w:sz w:val="20"/>
          <w:szCs w:val="20"/>
        </w:rPr>
        <w:t xml:space="preserve"> um período de 12 meses a serem </w:t>
      </w:r>
      <w:r>
        <w:rPr>
          <w:rFonts w:eastAsia="Calibri" w:cs="Calibri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ofertados às famílias ou indivíduos em situação de vulnerabilidade social</w:t>
      </w:r>
      <w:r>
        <w:rPr>
          <w:rFonts w:ascii="Verdana" w:hAnsi="Verdana"/>
          <w:b w:val="false"/>
          <w:bCs w:val="false"/>
          <w:sz w:val="20"/>
          <w:szCs w:val="20"/>
        </w:rPr>
        <w:t>;</w:t>
      </w:r>
    </w:p>
    <w:p>
      <w:pPr>
        <w:pStyle w:val="ListParagraph"/>
        <w:widowControl/>
        <w:suppressAutoHyphens w:val="true"/>
        <w:bidi w:val="0"/>
        <w:spacing w:lineRule="auto" w:line="240" w:before="0" w:after="0"/>
        <w:ind w:hanging="0" w:left="0" w:righ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>2.2. O benefício eventual consiste n</w:t>
      </w:r>
      <w:r>
        <w:rPr>
          <w:rFonts w:cs="Arial" w:ascii="Verdana" w:hAnsi="Verdana"/>
          <w:b w:val="false"/>
          <w:bCs w:val="false"/>
          <w:i w:val="false"/>
          <w:caps w:val="false"/>
          <w:smallCaps w:val="false"/>
          <w:color w:val="040C28"/>
          <w:spacing w:val="0"/>
          <w:sz w:val="20"/>
          <w:szCs w:val="20"/>
        </w:rPr>
        <w:t>o atendimento imediato de necessidades humanas básicas decorrentes de contingências sociais, ou seja, situações inesperadas</w:t>
      </w:r>
      <w:r>
        <w:rPr>
          <w:rFonts w:cs="Arial" w:ascii="Verdana" w:hAnsi="Verdana"/>
          <w:b w:val="false"/>
          <w:bCs w:val="false"/>
          <w:i w:val="false"/>
          <w:caps w:val="false"/>
          <w:smallCaps w:val="false"/>
          <w:color w:val="202124"/>
          <w:spacing w:val="0"/>
          <w:sz w:val="20"/>
          <w:szCs w:val="20"/>
        </w:rPr>
        <w:t>. Este benefício é ofertado pelo município nas situações de nascimento, morte, vulnerabilidade temporária e de calamidade pública</w:t>
      </w:r>
      <w:r>
        <w:rPr>
          <w:rFonts w:cs="Arial" w:ascii="Verdana" w:hAnsi="Verdana"/>
          <w:b w:val="false"/>
          <w:bCs w:val="false"/>
          <w:sz w:val="20"/>
          <w:szCs w:val="20"/>
        </w:rPr>
        <w:t>;</w:t>
      </w:r>
    </w:p>
    <w:p>
      <w:pPr>
        <w:pStyle w:val="ListParagraph"/>
        <w:widowControl/>
        <w:suppressAutoHyphens w:val="true"/>
        <w:bidi w:val="0"/>
        <w:spacing w:lineRule="auto" w:line="240" w:before="0" w:after="0"/>
        <w:ind w:hanging="0" w:left="0" w:righ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 xml:space="preserve">2.3. </w:t>
      </w:r>
      <w:r>
        <w:rPr>
          <w:rFonts w:cs="Arial" w:ascii="Verdana" w:hAnsi="Verdana"/>
          <w:b w:val="false"/>
          <w:bCs w:val="false"/>
          <w:i w:val="false"/>
          <w:iCs w:val="false"/>
          <w:sz w:val="20"/>
          <w:szCs w:val="20"/>
        </w:rPr>
        <w:t xml:space="preserve">A oferta de </w:t>
      </w:r>
      <w:r>
        <w:rPr>
          <w:rFonts w:eastAsia="Calibri" w:cs="Arial" w:ascii="Verdana" w:hAnsi="Verdana"/>
          <w:b w:val="false"/>
          <w:bCs w:val="false"/>
          <w:i w:val="false"/>
          <w:iCs w:val="false"/>
          <w:color w:val="auto"/>
          <w:kern w:val="0"/>
          <w:sz w:val="20"/>
          <w:szCs w:val="20"/>
          <w:lang w:val="pt-BR" w:eastAsia="zh-CN" w:bidi="ar-SA"/>
        </w:rPr>
        <w:t xml:space="preserve">kits recém nascido </w:t>
      </w:r>
      <w:r>
        <w:rPr>
          <w:rFonts w:cs="Arial" w:ascii="Verdana" w:hAnsi="Verdana"/>
          <w:b w:val="false"/>
          <w:bCs w:val="false"/>
          <w:i w:val="false"/>
          <w:iCs w:val="false"/>
          <w:sz w:val="20"/>
          <w:szCs w:val="20"/>
        </w:rPr>
        <w:t>consiste em um dos benefícios eventuais da Política de Assistência Social e visa mitigar riscos sociais.</w:t>
      </w:r>
      <w:r>
        <w:rPr>
          <w:rFonts w:cs="Arial" w:ascii="Verdana" w:hAnsi="Verdana"/>
          <w:b w:val="false"/>
          <w:bCs w:val="false"/>
          <w:sz w:val="20"/>
          <w:szCs w:val="20"/>
        </w:rPr>
        <w:t xml:space="preserve"> </w:t>
      </w:r>
    </w:p>
    <w:p>
      <w:pPr>
        <w:pStyle w:val="ListParagraph"/>
        <w:widowControl/>
        <w:suppressAutoHyphens w:val="true"/>
        <w:bidi w:val="0"/>
        <w:spacing w:lineRule="auto" w:line="240" w:before="0" w:after="0"/>
        <w:ind w:hanging="0" w:left="0" w:righ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 xml:space="preserve">2.4. As famílias e indivíduos beneficiados passam por processo de atendimento com escuta especializada do Técnico de Serviço Social e posterior acompanhamento familiar pela equipe responsável. O município de São Gabriel da Palha possui média anual de </w:t>
      </w:r>
      <w:r>
        <w:rPr>
          <w:rFonts w:eastAsia="Calibri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atendimentos</w:t>
      </w:r>
      <w:r>
        <w:rPr>
          <w:rFonts w:cs="Arial" w:ascii="Verdana" w:hAnsi="Verdana"/>
          <w:b w:val="false"/>
          <w:bCs w:val="false"/>
          <w:sz w:val="20"/>
          <w:szCs w:val="20"/>
        </w:rPr>
        <w:t xml:space="preserve"> em torno de </w:t>
      </w:r>
      <w:r>
        <w:rPr>
          <w:rFonts w:eastAsia="Calibri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 xml:space="preserve">85 </w:t>
      </w:r>
      <w:r>
        <w:rPr>
          <w:rFonts w:cs="Arial" w:ascii="Verdana" w:hAnsi="Verdana"/>
          <w:b w:val="false"/>
          <w:bCs w:val="false"/>
          <w:sz w:val="20"/>
          <w:szCs w:val="20"/>
        </w:rPr>
        <w:t xml:space="preserve">famílias/indivíduos.  </w:t>
      </w:r>
    </w:p>
    <w:p>
      <w:pPr>
        <w:pStyle w:val="ListParagraph"/>
        <w:spacing w:lineRule="auto" w:line="240" w:before="0" w:after="0"/>
        <w:ind w:hanging="0" w:left="0" w:righ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 w:val="false"/>
          <w:bCs w:val="false"/>
          <w:sz w:val="20"/>
          <w:szCs w:val="20"/>
          <w:shd w:fill="auto" w:val="clear"/>
        </w:rPr>
        <w:t xml:space="preserve">2.5. A quantidade foi estimada com base no histórico de atendimento dos beneficiários; </w:t>
      </w:r>
    </w:p>
    <w:p>
      <w:pPr>
        <w:pStyle w:val="Normal"/>
        <w:spacing w:lineRule="auto" w:line="240" w:before="0" w:after="0"/>
        <w:ind w:hanging="0" w:left="0" w:right="0"/>
        <w:jc w:val="both"/>
        <w:rPr>
          <w:rFonts w:ascii="Verdana" w:hAnsi="Verdana" w:eastAsia="Arial" w:cs="Arial"/>
          <w:b w:val="false"/>
          <w:bCs w:val="false"/>
          <w:sz w:val="20"/>
          <w:szCs w:val="20"/>
        </w:rPr>
      </w:pPr>
      <w:r>
        <w:rPr>
          <w:rFonts w:eastAsia="Arial" w:cs="Arial" w:ascii="Verdana" w:hAnsi="Verdana"/>
          <w:b w:val="false"/>
          <w:bCs w:val="false"/>
          <w:sz w:val="20"/>
          <w:szCs w:val="20"/>
        </w:rPr>
      </w:r>
    </w:p>
    <w:p>
      <w:pPr>
        <w:pStyle w:val="ListParagraph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3. DESCRIÇÃO DA SOLUÇÃO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3.1 A solução a ser adotada consiste na Contratação de empresa, por meio de licitação, para registro de preços de kits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recém nascido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 a serem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ofertados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 a famílias ou indivíduos em situação de vulnerabilidade social. 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>3.2. Os produtos deverão ser entregues respeitando as seguintes tarefas: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  <w:shd w:fill="auto" w:val="clear"/>
        </w:rPr>
      </w:pPr>
      <w:r>
        <w:rPr>
          <w:rFonts w:ascii="Verdana" w:hAnsi="Verdana"/>
          <w:sz w:val="20"/>
          <w:szCs w:val="20"/>
          <w:shd w:fill="auto" w:val="clear"/>
        </w:rPr>
      </w:r>
    </w:p>
    <w:tbl>
      <w:tblPr>
        <w:tblW w:w="5000" w:type="pct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367"/>
        <w:gridCol w:w="9116"/>
      </w:tblGrid>
      <w:tr>
        <w:trPr/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1</w:t>
            </w:r>
          </w:p>
        </w:tc>
        <w:tc>
          <w:tcPr>
            <w:tcW w:w="91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shd w:fill="auto" w:val="clear"/>
                <w:lang w:val="pt-BR" w:eastAsia="zh-CN" w:bidi="ar-SA"/>
              </w:rPr>
              <w:t>Realizar as entregas com prazo máximo de 15 dias, após a emissão da autorização de fornecimento;</w:t>
            </w:r>
          </w:p>
        </w:tc>
      </w:tr>
      <w:tr>
        <w:trPr/>
        <w:tc>
          <w:tcPr>
            <w:tcW w:w="36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2</w:t>
            </w:r>
          </w:p>
        </w:tc>
        <w:tc>
          <w:tcPr>
            <w:tcW w:w="9116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shd w:fill="auto" w:val="clear"/>
                <w:lang w:val="pt-BR" w:eastAsia="zh-CN" w:bidi="ar-SA"/>
              </w:rPr>
              <w:t>Os produtos devem ser iguais aqueles cotados pelo fornecedor;</w:t>
            </w:r>
          </w:p>
        </w:tc>
      </w:tr>
      <w:tr>
        <w:trPr/>
        <w:tc>
          <w:tcPr>
            <w:tcW w:w="36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3</w:t>
            </w:r>
          </w:p>
        </w:tc>
        <w:tc>
          <w:tcPr>
            <w:tcW w:w="9116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shd w:fill="auto" w:val="clear"/>
                <w:lang w:val="pt-BR" w:eastAsia="zh-CN" w:bidi="ar-SA"/>
              </w:rPr>
              <w:t>Não poderá haver substituição dos produtos por outro de qualidade inferior aquele contido no registro de preços;</w:t>
            </w:r>
          </w:p>
        </w:tc>
      </w:tr>
      <w:tr>
        <w:trPr/>
        <w:tc>
          <w:tcPr>
            <w:tcW w:w="36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4</w:t>
            </w:r>
          </w:p>
        </w:tc>
        <w:tc>
          <w:tcPr>
            <w:tcW w:w="9116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sz w:val="20"/>
                <w:szCs w:val="20"/>
                <w:shd w:fill="auto" w:val="clear"/>
              </w:rPr>
              <w:t>Responsabilizar-se pelo transporte e logística dos produtos até o local de entrega;</w:t>
            </w:r>
          </w:p>
        </w:tc>
      </w:tr>
      <w:tr>
        <w:trPr/>
        <w:tc>
          <w:tcPr>
            <w:tcW w:w="36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5</w:t>
            </w:r>
          </w:p>
        </w:tc>
        <w:tc>
          <w:tcPr>
            <w:tcW w:w="9116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shd w:fill="auto" w:val="clear"/>
                <w:lang w:val="pt-BR" w:eastAsia="zh-CN" w:bidi="ar-SA"/>
              </w:rPr>
              <w:t>Substituir o produto por outro equivalente em caso de dano durante o transporte;</w:t>
            </w:r>
          </w:p>
        </w:tc>
      </w:tr>
      <w:tr>
        <w:trPr/>
        <w:tc>
          <w:tcPr>
            <w:tcW w:w="36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6</w:t>
            </w:r>
          </w:p>
        </w:tc>
        <w:tc>
          <w:tcPr>
            <w:tcW w:w="9116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shd w:fill="auto" w:val="clear"/>
                <w:lang w:val="pt-BR" w:eastAsia="zh-CN" w:bidi="ar-SA"/>
              </w:rPr>
              <w:t>Manter-se com as obrigações fiscais da empresa em dia.</w:t>
            </w:r>
          </w:p>
        </w:tc>
      </w:tr>
      <w:tr>
        <w:trPr/>
        <w:tc>
          <w:tcPr>
            <w:tcW w:w="36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  <w:shd w:fill="auto" w:val="clear"/>
              </w:rPr>
              <w:t>7</w:t>
            </w:r>
          </w:p>
        </w:tc>
        <w:tc>
          <w:tcPr>
            <w:tcW w:w="9116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/>
                <w:bCs/>
                <w:color w:val="000000"/>
                <w:kern w:val="0"/>
                <w:sz w:val="20"/>
                <w:szCs w:val="20"/>
                <w:shd w:fill="auto" w:val="clear"/>
                <w:lang w:val="pt-BR" w:eastAsia="zh-CN" w:bidi="ar-SA"/>
              </w:rPr>
              <w:t>Entregar o kit montado, embalado em sacola de TNT e amarrado com fita de cetim, exceto o colchão, contendo: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/>
                <w:bCs/>
                <w:color w:val="000000"/>
                <w:kern w:val="0"/>
                <w:sz w:val="20"/>
                <w:szCs w:val="20"/>
                <w:shd w:fill="auto" w:val="clear"/>
                <w:lang w:val="pt-BR" w:eastAsia="zh-CN" w:bidi="ar-SA"/>
              </w:rPr>
              <w:t>*02 conjuntos pagão;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/>
                <w:bCs/>
                <w:color w:val="000000"/>
                <w:kern w:val="0"/>
                <w:sz w:val="20"/>
                <w:szCs w:val="20"/>
                <w:shd w:fill="auto" w:val="clear"/>
                <w:lang w:val="pt-BR" w:eastAsia="zh-CN" w:bidi="ar-SA"/>
              </w:rPr>
              <w:t>*02 mantilhas;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/>
                <w:bCs/>
                <w:color w:val="000000"/>
                <w:kern w:val="0"/>
                <w:sz w:val="20"/>
                <w:szCs w:val="20"/>
                <w:shd w:fill="auto" w:val="clear"/>
                <w:lang w:val="pt-BR" w:eastAsia="zh-CN" w:bidi="ar-SA"/>
              </w:rPr>
              <w:t>*01 kit de gorro luva e sapatinho;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/>
                <w:bCs/>
                <w:color w:val="000000"/>
                <w:kern w:val="0"/>
                <w:sz w:val="20"/>
                <w:szCs w:val="20"/>
                <w:shd w:fill="auto" w:val="clear"/>
                <w:lang w:val="pt-BR" w:eastAsia="zh-CN" w:bidi="ar-SA"/>
              </w:rPr>
              <w:t>*01 jogo de lençol;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/>
                <w:bCs/>
                <w:color w:val="000000"/>
                <w:kern w:val="0"/>
                <w:sz w:val="20"/>
                <w:szCs w:val="20"/>
                <w:shd w:fill="auto" w:val="clear"/>
                <w:lang w:val="pt-BR" w:eastAsia="zh-CN" w:bidi="ar-SA"/>
              </w:rPr>
              <w:t>*01 toalha de banho para bebê;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/>
                <w:bCs/>
                <w:color w:val="000000"/>
                <w:kern w:val="0"/>
                <w:sz w:val="20"/>
                <w:szCs w:val="20"/>
                <w:shd w:fill="auto" w:val="clear"/>
                <w:lang w:val="pt-BR" w:eastAsia="zh-CN" w:bidi="ar-SA"/>
              </w:rPr>
              <w:t>*02 sabonetes em barra 90 gramas;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/>
                <w:bCs/>
                <w:color w:val="000000"/>
                <w:kern w:val="0"/>
                <w:sz w:val="20"/>
                <w:szCs w:val="20"/>
                <w:shd w:fill="auto" w:val="clear"/>
                <w:lang w:val="pt-BR" w:eastAsia="zh-CN" w:bidi="ar-SA"/>
              </w:rPr>
              <w:t>*01 shampoo infantil 200ml;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/>
                <w:bCs/>
                <w:color w:val="000000"/>
                <w:kern w:val="0"/>
                <w:sz w:val="20"/>
                <w:szCs w:val="20"/>
                <w:shd w:fill="auto" w:val="clear"/>
                <w:lang w:val="pt-BR" w:eastAsia="zh-CN" w:bidi="ar-SA"/>
              </w:rPr>
              <w:t>*01pomada para assadura;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/>
                <w:bCs/>
                <w:color w:val="000000"/>
                <w:kern w:val="0"/>
                <w:sz w:val="20"/>
                <w:szCs w:val="20"/>
                <w:shd w:fill="auto" w:val="clear"/>
                <w:lang w:val="pt-BR" w:eastAsia="zh-CN" w:bidi="ar-SA"/>
              </w:rPr>
              <w:t>*01 pacote de fralda de tecido com 05 unidades;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/>
                <w:bCs/>
                <w:color w:val="000000"/>
                <w:kern w:val="0"/>
                <w:sz w:val="20"/>
                <w:szCs w:val="20"/>
                <w:shd w:fill="auto" w:val="clear"/>
                <w:lang w:val="pt-BR" w:eastAsia="zh-CN" w:bidi="ar-SA"/>
              </w:rPr>
              <w:t>*01 pacote de fralda descartável tamanho P;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/>
                <w:bCs/>
                <w:color w:val="000000"/>
                <w:kern w:val="0"/>
                <w:sz w:val="20"/>
                <w:szCs w:val="20"/>
                <w:shd w:fill="auto" w:val="clear"/>
                <w:lang w:val="pt-BR" w:eastAsia="zh-CN" w:bidi="ar-SA"/>
              </w:rPr>
              <w:t>*01 pacote de fralda descartável tamanho M;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/>
                <w:bCs/>
                <w:color w:val="000000"/>
                <w:kern w:val="0"/>
                <w:sz w:val="20"/>
                <w:szCs w:val="20"/>
                <w:shd w:fill="auto" w:val="clear"/>
                <w:lang w:val="pt-BR" w:eastAsia="zh-CN" w:bidi="ar-SA"/>
              </w:rPr>
              <w:t>*01 kit com 03 mamadeiras;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/>
                <w:bCs/>
                <w:color w:val="000000"/>
                <w:kern w:val="0"/>
                <w:sz w:val="20"/>
                <w:szCs w:val="20"/>
                <w:shd w:fill="auto" w:val="clear"/>
                <w:lang w:val="pt-BR" w:eastAsia="zh-CN" w:bidi="ar-SA"/>
              </w:rPr>
              <w:t>*02 cueiros;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/>
                <w:bCs/>
                <w:color w:val="000000"/>
                <w:kern w:val="0"/>
                <w:sz w:val="20"/>
                <w:szCs w:val="20"/>
                <w:shd w:fill="auto" w:val="clear"/>
                <w:lang w:val="pt-BR" w:eastAsia="zh-CN" w:bidi="ar-SA"/>
              </w:rPr>
              <w:t>*02 panos de boca;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/>
                <w:bCs/>
                <w:color w:val="000000"/>
                <w:kern w:val="0"/>
                <w:sz w:val="20"/>
                <w:szCs w:val="20"/>
                <w:shd w:fill="auto" w:val="clear"/>
                <w:lang w:val="pt-BR" w:eastAsia="zh-CN" w:bidi="ar-SA"/>
              </w:rPr>
              <w:t>*01 banheira para bebês;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/>
                <w:bCs/>
                <w:color w:val="000000"/>
                <w:kern w:val="0"/>
                <w:sz w:val="20"/>
                <w:szCs w:val="20"/>
                <w:shd w:fill="auto" w:val="clear"/>
                <w:lang w:val="pt-BR" w:eastAsia="zh-CN" w:bidi="ar-SA"/>
              </w:rPr>
              <w:t>*01 colchão para berço;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/>
                <w:bCs/>
                <w:color w:val="000000"/>
                <w:kern w:val="0"/>
                <w:sz w:val="20"/>
                <w:szCs w:val="20"/>
                <w:shd w:fill="auto" w:val="clear"/>
                <w:lang w:val="pt-BR" w:eastAsia="zh-CN" w:bidi="ar-SA"/>
              </w:rPr>
              <w:t>*01 par de meias recém nascido;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/>
                <w:bCs/>
                <w:color w:val="000000"/>
                <w:kern w:val="0"/>
                <w:sz w:val="20"/>
                <w:szCs w:val="20"/>
                <w:shd w:fill="auto" w:val="clear"/>
                <w:lang w:val="pt-BR" w:eastAsia="zh-CN" w:bidi="ar-SA"/>
              </w:rPr>
              <w:t>*01 sacola em TNT;</w:t>
            </w:r>
          </w:p>
        </w:tc>
      </w:tr>
      <w:tr>
        <w:trPr/>
        <w:tc>
          <w:tcPr>
            <w:tcW w:w="948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Justifica-se a aquisição do kit de forma global, visto que comumente a aquisição se dá por compra isolada dos itens que compõem o kit  recém-nascido, ou seja, as empresas ganhadoras possuem um prazo para entregá-los, o que não significa que estes serão entregues por todos os fornecedores de modo sincronizado. Observa-se que isto já acarretou a entrega dos kits fracionados aos cidadãos em situação de vulnerabilidade social, uma vez que o mesmo ao requerer o auxílio, deve ser atendido de modo imediato. [E valido enfatizar que a entrega do kit é feita por profissional habilitado que ao ouvir a demanda relatada, pode realizar visita domiciliar, a fim de averiguar outras fragilidades e necessidade de um acompanhamento por período estendido.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Neste sentido, justifica-se o requerimento de aquisição de kit (menor preço global) e não compra de itens fracionados, que fica condicionada a uma entrega variável por parte das empresas, no qual o maior prejudicado é o cidadão na condição de vulnerabilidade.</w:t>
            </w:r>
          </w:p>
        </w:tc>
      </w:tr>
    </w:tbl>
    <w:p>
      <w:pPr>
        <w:pStyle w:val="Normal"/>
        <w:spacing w:lineRule="auto" w:line="240"/>
        <w:jc w:val="both"/>
        <w:rPr>
          <w:rFonts w:ascii="Verdana" w:hAnsi="Verdana"/>
          <w:b w:val="false"/>
          <w:bCs w:val="false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  <w:shd w:fill="auto" w:val="clear"/>
        </w:rPr>
        <w:t>3.3. O registro de preço não obriga a administração a adquirir os produtos parcial ou totalmente durante sua vigência;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3.4. Os quantitativos a serem adquiridos serão informados</w:t>
      </w:r>
      <w:r>
        <w:rPr>
          <w:rFonts w:ascii="Verdana" w:hAnsi="Verdana"/>
          <w:b w:val="false"/>
          <w:bCs w:val="false"/>
          <w:color w:val="000000"/>
          <w:sz w:val="20"/>
          <w:szCs w:val="20"/>
        </w:rPr>
        <w:t xml:space="preserve"> no ato da efetiva contratação.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color w:val="000000"/>
          <w:sz w:val="20"/>
          <w:szCs w:val="20"/>
        </w:rPr>
        <w:t xml:space="preserve">3.5. </w:t>
      </w:r>
      <w:r>
        <w:rPr>
          <w:rFonts w:ascii="Verdana" w:hAnsi="Verdana"/>
          <w:b w:val="false"/>
          <w:bCs w:val="false"/>
          <w:color w:val="000000"/>
          <w:sz w:val="20"/>
          <w:szCs w:val="20"/>
          <w:shd w:fill="auto" w:val="clear"/>
        </w:rPr>
        <w:t>Em caso de dano durante o transporte dos produtos, a empresa arcará com todas as responsabilidades, para sua substituição no prazo máximo de 05 dias;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color w:val="000000"/>
          <w:sz w:val="20"/>
          <w:szCs w:val="20"/>
        </w:rPr>
        <w:t xml:space="preserve">3.6. </w:t>
      </w:r>
      <w:r>
        <w:rPr>
          <w:rFonts w:eastAsia="Arial" w:cs="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>As especificações dos produtos que estão contidas no Estudo Técnico Preliminar, conforme solicitação de compras em anexo, estão de acordo com os padr</w:t>
      </w:r>
      <w:r>
        <w:rPr>
          <w:rFonts w:eastAsia="Arial" w:cs="Arial" w:ascii="Verdana" w:hAnsi="Verdana"/>
          <w:b w:val="false"/>
          <w:bCs w:val="false"/>
          <w:color w:val="000000"/>
          <w:sz w:val="20"/>
          <w:szCs w:val="20"/>
        </w:rPr>
        <w:t>ões existentes no mercado.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color w:val="000000"/>
          <w:sz w:val="20"/>
          <w:szCs w:val="20"/>
        </w:rPr>
        <w:t xml:space="preserve">3.7. 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>A aquisição deverá obedecer, no que couber, ao disposto na Lei n.º 14.133/2021 e suas alterações.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 w:val="false"/>
          <w:bCs w:val="false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</w:r>
    </w:p>
    <w:p>
      <w:pPr>
        <w:pStyle w:val="Nivel1"/>
        <w:spacing w:lineRule="auto" w:line="240" w:before="0" w:after="0"/>
        <w:ind w:hanging="0" w:left="0" w:right="0"/>
        <w:rPr>
          <w:rFonts w:ascii="Verdana" w:hAnsi="Verdana"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4. CLASSIFICAÇÃO DOS BENS COMUNS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 xml:space="preserve">4.1. Trata-se de bens comuns a ser contratado mediante </w:t>
      </w:r>
      <w:r>
        <w:rPr>
          <w:rFonts w:eastAsia="Times New Roman" w:cs="Arial" w:ascii="Verdana" w:hAnsi="Verdana"/>
          <w:b w:val="false"/>
          <w:bCs w:val="false"/>
          <w:color w:val="000000"/>
          <w:sz w:val="20"/>
          <w:szCs w:val="20"/>
        </w:rPr>
        <w:t>registro de preços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>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 w:cs="Arial"/>
          <w:b w:val="false"/>
          <w:bCs w:val="false"/>
          <w:color w:val="000000"/>
          <w:sz w:val="20"/>
          <w:szCs w:val="20"/>
        </w:rPr>
      </w:pP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color w:val="000000"/>
          <w:sz w:val="20"/>
          <w:szCs w:val="20"/>
        </w:rPr>
        <w:t>5. REQUISITOS DA CONTRATAÇÃO/AQUISIÇÃO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>5.1. Na aquisição dos produtos, a CONTRATADA deve: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a) Zelar pela integridade física das dos produtos. 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b) 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>Se submeter as regras do edital de licitação, atendendo a legislação vigente.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>d) Fornecer transporte, logística e tudo o mais que for necessário para disponibilizar o objeto da aquisição, a fim de assegurar a entrega dos produtos ora licitados, dentro do prazo estabelecido, devendo, obrigatoriamente, a CONTRATADA incluir no preço do serviço os correspondentes custos.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>e) O</w:t>
      </w:r>
      <w:r>
        <w:rPr>
          <w:rFonts w:eastAsia="Arial" w:cs="Arial" w:ascii="Verdana" w:hAnsi="Verdana"/>
          <w:b w:val="false"/>
          <w:bCs w:val="false"/>
          <w:sz w:val="20"/>
          <w:szCs w:val="20"/>
          <w:shd w:fill="auto" w:val="clear"/>
        </w:rPr>
        <w:t xml:space="preserve"> registro de preços se dará com assinatura de ata de registro de preços com validade de 12 meses para </w:t>
      </w:r>
      <w:r>
        <w:rPr>
          <w:rFonts w:eastAsia="Arial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a empresa </w:t>
      </w:r>
      <w:r>
        <w:rPr>
          <w:rFonts w:eastAsia="Arial" w:cs="Arial" w:ascii="Verdana" w:hAnsi="Verdana"/>
          <w:b w:val="false"/>
          <w:bCs w:val="false"/>
          <w:sz w:val="20"/>
          <w:szCs w:val="20"/>
          <w:shd w:fill="auto" w:val="clear"/>
        </w:rPr>
        <w:t>que oferecer menor preço global, por produtos de qualidade, conforme especificado na solicitação de compras em anexo.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>f) Entregar os kit montados no ato da solicitação, embalados com todos os itens na Sacola de TNT, exceto o colchão. A sacola deverá vir amarrada com fita de cetim (feito laço).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  <w:shd w:fill="auto" w:val="clear"/>
        </w:rPr>
        <w:t>5.2. Da qualificação técnica.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  <w:shd w:fill="auto" w:val="clear"/>
        </w:rPr>
        <w:t>5.2.1. Comprovação de aptidão para desempenho de atividade pertinente e compatível com o objeto desta licitação.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shd w:fill="auto" w:val="clear"/>
        </w:rPr>
        <w:t>5.2.2. Registro da pessoa jurídica (CONTRATADA) nos órgãos competentes e Conselho Regional da classe, se for o caso.</w:t>
      </w:r>
    </w:p>
    <w:p>
      <w:pPr>
        <w:pStyle w:val="ListParagraph"/>
        <w:spacing w:lineRule="auto" w:line="240"/>
        <w:ind w:hanging="0" w:left="-22" w:right="0"/>
        <w:jc w:val="both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ivel1"/>
        <w:suppressAutoHyphens w:val="true"/>
        <w:spacing w:lineRule="auto" w:line="240" w:before="0" w:after="0"/>
        <w:ind w:hanging="0" w:left="0" w:right="0"/>
        <w:rPr>
          <w:rFonts w:ascii="Verdana" w:hAnsi="Verdana"/>
          <w:sz w:val="20"/>
          <w:szCs w:val="20"/>
        </w:rPr>
      </w:pPr>
      <w:r>
        <w:rPr>
          <w:rFonts w:ascii="Verdana" w:hAnsi="Verdana"/>
          <w:i w:val="false"/>
          <w:iCs w:val="false"/>
          <w:sz w:val="20"/>
          <w:szCs w:val="20"/>
        </w:rPr>
        <w:t>6. ENTREGA E CRITÉRIOS DE ACEITAÇÃO DO OBJETO.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6.1. </w:t>
      </w:r>
      <w:r>
        <w:rPr>
          <w:rFonts w:cs="Arial" w:ascii="Verdana" w:hAnsi="Verdana"/>
          <w:b w:val="false"/>
          <w:bCs w:val="false"/>
          <w:sz w:val="20"/>
          <w:szCs w:val="20"/>
        </w:rPr>
        <w:t xml:space="preserve">O fornecedor deverá entregar as mercadorias no prazo </w:t>
      </w:r>
      <w:r>
        <w:rPr>
          <w:rFonts w:eastAsia="Times New Roman" w:cs="Arial" w:ascii="Verdana" w:hAnsi="Verdana"/>
          <w:b w:val="false"/>
          <w:bCs w:val="false"/>
          <w:sz w:val="20"/>
          <w:szCs w:val="20"/>
        </w:rPr>
        <w:t xml:space="preserve">estipulado, </w:t>
      </w:r>
      <w:r>
        <w:rPr>
          <w:rFonts w:eastAsia="Times New Roman" w:cs="Arial" w:ascii="Verdana" w:hAnsi="Verdana"/>
          <w:b w:val="false"/>
          <w:bCs w:val="false"/>
          <w:sz w:val="20"/>
          <w:szCs w:val="20"/>
          <w:lang w:eastAsia="zh-CN"/>
        </w:rPr>
        <w:t>de até 15 (quinze) dias corridos para a entrega, a partir do recebimento da Ordem de Fornecimento</w:t>
      </w:r>
      <w:r>
        <w:rPr>
          <w:rFonts w:cs="Arial" w:ascii="Verdana" w:hAnsi="Verdana"/>
          <w:b w:val="false"/>
          <w:bCs w:val="false"/>
          <w:sz w:val="20"/>
          <w:szCs w:val="20"/>
        </w:rPr>
        <w:t xml:space="preserve"> emitida pelo Departamento de Compras.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6.2. A entrega será feita: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 xml:space="preserve"> </w:t>
      </w: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- CRAS – GUSTAVO MILBRATZ</w:t>
        <w:tab/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Rua Daniel Comboni, 787 – Vila Comboni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 xml:space="preserve">São Gabriel da Palha – Es 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CEP: 29780-000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>- CONTATO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 xml:space="preserve">Tel: 27 </w:t>
      </w: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99975-6571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Arial" w:ascii="Verdana" w:hAnsi="Verdana"/>
          <w:b w:val="false"/>
          <w:bCs w:val="false"/>
          <w:sz w:val="20"/>
          <w:szCs w:val="20"/>
        </w:rPr>
        <w:t xml:space="preserve">Email: </w:t>
      </w:r>
      <w:hyperlink r:id="rId2">
        <w:r>
          <w:rPr>
            <w:rStyle w:val="ListLabel19"/>
            <w:rFonts w:eastAsia="Times New Roman" w:cs="Arial" w:ascii="Verdana" w:hAnsi="Verdana"/>
            <w:b w:val="false"/>
            <w:bCs w:val="false"/>
            <w:color w:val="auto"/>
            <w:kern w:val="0"/>
            <w:sz w:val="20"/>
            <w:szCs w:val="20"/>
            <w:u w:val="single"/>
            <w:lang w:val="pt-BR" w:eastAsia="zh-CN" w:bidi="ar-SA"/>
          </w:rPr>
          <w:t>assistenciasgp@gmail.com</w:t>
        </w:r>
      </w:hyperlink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 xml:space="preserve"> 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auto"/>
          <w:kern w:val="0"/>
          <w:sz w:val="20"/>
          <w:szCs w:val="20"/>
          <w:lang w:val="pt-BR" w:eastAsia="zh-CN" w:bidi="ar-SA"/>
        </w:rPr>
        <w:t xml:space="preserve">Responsável: Secretaria Municipal de Assistência, Desenvolvimento Social e Família 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6.3. O prazo de validade na data da entrega não poderá ser inferior à metade do prazo total recomendado pelo fabricante.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6.4. Os bens serão recebidos provisoriamente no prazo de 30 (trinta) dias, pelo (a) responsável pelo acompanhamento e fiscalização da ata de registro de preços, para efeito de posterior verificação de sua conformidade com as especificações constantes neste Termo de Referência e na proposta.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6.5. Os 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itens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 poderão ser rejeitados, no todo ou em parte, quando em desacordo com as especificações constantes neste Termo de Referência e na proposta, devendo ser substituídos no prazo de 05 (cinco) dias, a contar da notificação</w:t>
      </w:r>
      <w:r>
        <w:rPr>
          <w:rFonts w:ascii="Verdana" w:hAnsi="Verdana"/>
          <w:sz w:val="20"/>
          <w:szCs w:val="20"/>
        </w:rPr>
        <w:br/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da contratada, às suas custas, sem prejuízo da aplicação das penalidades.</w:t>
      </w:r>
      <w:r>
        <w:rPr>
          <w:rFonts w:ascii="Verdana" w:hAnsi="Verdana"/>
          <w:sz w:val="20"/>
          <w:szCs w:val="20"/>
        </w:rPr>
        <w:br/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6.6.</w:t>
      </w:r>
      <w:r>
        <w:rPr>
          <w:rFonts w:cs="Arial" w:ascii="Verdana" w:hAnsi="Verdana"/>
          <w:i w:val="false"/>
          <w:iCs w:val="false"/>
          <w:color w:val="000000"/>
          <w:sz w:val="20"/>
          <w:szCs w:val="20"/>
        </w:rPr>
        <w:t xml:space="preserve"> O recebimento provisório ou definitivo do objeto não exclui a responsabilidade da contratada pelos prejuízos resultantes da incorreta execução do contrato.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i w:val="false"/>
          <w:iCs w:val="false"/>
          <w:color w:val="000000"/>
          <w:sz w:val="20"/>
          <w:szCs w:val="20"/>
        </w:rPr>
        <w:t>7. OBRIGAÇÕES DA CONTRATANTE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7.1.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 Receber os objetos no prazo e condições estabelecidas neste Termo de Referência e seus anexos.</w:t>
      </w:r>
    </w:p>
    <w:p>
      <w:pPr>
        <w:pStyle w:val="Normal"/>
        <w:spacing w:lineRule="auto" w:line="240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7.2. </w:t>
      </w:r>
      <w:bookmarkStart w:id="5" w:name="page68R_mcid171"/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Verificar minuciosamente, no prazo fixado, a conformidade dos bens recebidos provisoriamente com as especificações constantes neste Termo de Referência e da proposta, para fins de aceitação e recebimento definitivo.</w:t>
      </w:r>
    </w:p>
    <w:p>
      <w:pPr>
        <w:pStyle w:val="Normal"/>
        <w:spacing w:lineRule="auto" w:line="240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7.3. Comunicar à Contratada, por escrito, sobre imperfeições, falhas ou irregularidades verificadas no objeto fornecido, para que seja substituído, reparado ou corrigido.</w:t>
      </w:r>
    </w:p>
    <w:p>
      <w:pPr>
        <w:pStyle w:val="Normal"/>
        <w:spacing w:lineRule="auto" w:line="240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7.4. Acompanhar e fiscalizar o cumprimento das obrigações da Contratada, através de comissão/servidor especialmente designado.</w:t>
      </w:r>
    </w:p>
    <w:p>
      <w:pPr>
        <w:pStyle w:val="Normal"/>
        <w:spacing w:lineRule="auto" w:line="240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7.5. Efetuar o pagamento à Contratada no valor correspondente ao fornecimento dos objetos, no prazo e forma estabelecidos neste TR e seus anexos.</w:t>
      </w:r>
    </w:p>
    <w:p>
      <w:pPr>
        <w:pStyle w:val="Normal"/>
        <w:spacing w:lineRule="auto" w:line="240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7.6. 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A Administração não responderá por quaisquer compromissos assumidos pela Contratada com terceiros, ainda que vinculados à execução da presente 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Ata de Registro de Preços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, bem como por qualquer dano causado a terceiros em decorrência de ato da Contratada, de seus empregados, prepostos ou subordinados.</w:t>
      </w:r>
    </w:p>
    <w:p>
      <w:pPr>
        <w:pStyle w:val="Normal"/>
        <w:spacing w:lineRule="auto" w:line="24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i w:val="false"/>
          <w:iCs w:val="false"/>
          <w:color w:val="000000"/>
          <w:sz w:val="20"/>
          <w:szCs w:val="20"/>
        </w:rPr>
        <w:t>8. OBRIGAÇÕES DA CONTRATADA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bookmarkStart w:id="6" w:name="_GoBack1111"/>
      <w:bookmarkEnd w:id="6"/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8.1. A Contratada deve cumprir todas as obrigações constantes neste TR, seus anexos e sua proposta, assumindo como exclusivamente seus os riscos e as despesas decorrentes da boa e perfeita execução do objeto.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8.2. Efetuar a entrega do objeto em perfeitas condições, conforme especificações, prazo e local constantes no Termo de Referência e seus anexos, acompanhado da respectiva nota fiscal, na qual constarão as indicações referentes a: marca, fabricante, modelo, procedência e prazo de validade.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8.3. Responsabilizar-se pelos vícios e danos decorrentes do objeto, de acordo com os artigos 12, 13 e 17 a 27, do Código de Defesa do Consumidor (Lei nº 8.078, de 1990).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8.4. Substituir, reparar ou corrigir, às suas expensas, no prazo fixado neste Termo de Referência, o objeto com avarias ou defeitos.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8.5. 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Comunicar à Contratante, no prazo máximo de 72 (setenta e duas) horas que antecede a data da entrega, os motivos que impossibilitem o cumprimento do prazo previsto, com a devida comprovação.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8.6. 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Manter, durante toda a execução d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a ata de registro de preços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, em compatibilidade com as obrigações assumidas, todas as condições de habilitação e qualificação exigidas na licitação.</w:t>
      </w:r>
    </w:p>
    <w:p>
      <w:pPr>
        <w:pStyle w:val="Normal"/>
        <w:tabs>
          <w:tab w:val="clear" w:pos="708"/>
          <w:tab w:val="left" w:pos="0" w:leader="none"/>
        </w:tabs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8.7. 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Indicar preposto para representá-la durante a execução Da ata de registro de preços.</w:t>
      </w:r>
    </w:p>
    <w:p>
      <w:pPr>
        <w:pStyle w:val="Normal"/>
        <w:tabs>
          <w:tab w:val="clear" w:pos="708"/>
          <w:tab w:val="left" w:pos="0" w:leader="none"/>
        </w:tabs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8.8. 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A 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contratada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 será responsável pela observância das leis, decretos, regulamentos, portarias e normas federais, estaduais e municipais direta e indiretamente aplicáveis ao objeto do contrato.</w:t>
      </w:r>
    </w:p>
    <w:p>
      <w:pPr>
        <w:pStyle w:val="Normal"/>
        <w:tabs>
          <w:tab w:val="clear" w:pos="708"/>
          <w:tab w:val="left" w:pos="0" w:leader="none"/>
        </w:tabs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8.9.Durante a execução da ata de registro de preços, a 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contratada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 deverá:</w:t>
      </w:r>
      <w:r>
        <w:rPr>
          <w:rFonts w:ascii="Verdana" w:hAnsi="Verdana"/>
          <w:sz w:val="20"/>
          <w:szCs w:val="20"/>
        </w:rPr>
        <w:br/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8.9.1.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 Atender prontamente às solicitações 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da secretaria e seus equipamentos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, no fornecimento d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os objetos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 nas quantidades e especificações deste 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termo de referência.</w:t>
      </w:r>
    </w:p>
    <w:p>
      <w:pPr>
        <w:pStyle w:val="Normal"/>
        <w:tabs>
          <w:tab w:val="clear" w:pos="708"/>
          <w:tab w:val="left" w:pos="0" w:leader="none"/>
        </w:tabs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8.9.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2. Entregar os 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objetos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 acondicionados adequadamente, em invólucro lacrado, de forma a permitir completa segurança durante o transporte, acompanhado de nota fiscal, discriminado o quantitativo do produto, de acordo com as especificações técnicas.</w:t>
      </w:r>
    </w:p>
    <w:p>
      <w:pPr>
        <w:pStyle w:val="Normal"/>
        <w:tabs>
          <w:tab w:val="clear" w:pos="708"/>
          <w:tab w:val="left" w:pos="0" w:leader="none"/>
        </w:tabs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8.9.3. 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A nota fiscal deverá ser acompanhada pelas Certidões de Regularidades Fiscais.</w:t>
      </w:r>
      <w:r>
        <w:rPr>
          <w:rFonts w:ascii="Verdana" w:hAnsi="Verdana"/>
          <w:sz w:val="20"/>
          <w:szCs w:val="20"/>
        </w:rPr>
        <w:br/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8.9.4. </w:t>
      </w:r>
      <w:bookmarkStart w:id="7" w:name="art23§7"/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Substituir quaisquer objeto que não esteja dentro do padrão de qualidade, em bom estado de conservação, que apresente defeito ou não esteja em conformidade com as especificações da proposta apresentada.</w:t>
      </w:r>
    </w:p>
    <w:p>
      <w:pPr>
        <w:pStyle w:val="Normal"/>
        <w:tabs>
          <w:tab w:val="clear" w:pos="708"/>
          <w:tab w:val="left" w:pos="0" w:leader="none"/>
        </w:tabs>
        <w:spacing w:lineRule="auto" w:line="240"/>
        <w:ind w:hanging="0" w:left="0" w:right="0"/>
        <w:jc w:val="both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i w:val="false"/>
          <w:iCs w:val="false"/>
          <w:color w:val="000000"/>
          <w:sz w:val="20"/>
          <w:szCs w:val="20"/>
        </w:rPr>
        <w:t>9. DO CONTROLE E FISCALIZAÇÃO DA EXECUÇÃO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9.1. A fiscalização será realizado por servidor da secretaria requisitante para acompanhar e fiscalizar a entrega dos bens, anotando em registro próprio todas as ocorrências relacionadas com a execução e determinando o que for necessário à regularização de falhas ou defeitos observados.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9.2. A fiscalização de que trata este item não exclui nem reduz a responsabilidade da Contratada, inclusive perante terceiros, por qualquer irregularidade, ainda que resultante de imperfeições técnicas ou vícios redibitórios, e na ocorrência desta, não implica em responsabilidade da Administração ou de seus agentes e prepostos, de conformidade com a Lei n.º 14.133/2021.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10. CRITÉRIOS DE PAGAMENTO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  <w:lang w:eastAsia="en-US"/>
        </w:rPr>
        <w:t xml:space="preserve">10.1. Recebida a Nota Fiscal ou documento de cobrança equivalente, correrá o prazo de </w:t>
      </w:r>
      <w:r>
        <w:rPr>
          <w:rFonts w:eastAsia="Times New Roman" w:cs="Times New Roman" w:ascii="Verdana" w:hAnsi="Verdana"/>
          <w:b w:val="false"/>
          <w:bCs w:val="false"/>
          <w:sz w:val="20"/>
          <w:szCs w:val="20"/>
          <w:lang w:eastAsia="en-US"/>
        </w:rPr>
        <w:t>(30) trinta</w:t>
      </w:r>
      <w:r>
        <w:rPr>
          <w:rFonts w:ascii="Verdana" w:hAnsi="Verdana"/>
          <w:b w:val="false"/>
          <w:bCs w:val="false"/>
          <w:sz w:val="20"/>
          <w:szCs w:val="20"/>
          <w:lang w:eastAsia="en-US"/>
        </w:rPr>
        <w:t xml:space="preserve"> dias úteis para fins de liquidação, na forma desta seção, prorrogáveis por igual período.</w:t>
      </w:r>
    </w:p>
    <w:p>
      <w:pPr>
        <w:pStyle w:val="Normal"/>
        <w:spacing w:lineRule="auto" w:line="240"/>
        <w:ind w:hanging="0" w:left="-22" w:right="0"/>
        <w:jc w:val="both"/>
        <w:rPr/>
      </w:pPr>
      <w:r>
        <w:rPr>
          <w:rFonts w:ascii="Verdana" w:hAnsi="Verdana"/>
          <w:b w:val="false"/>
          <w:bCs w:val="false"/>
          <w:sz w:val="20"/>
          <w:szCs w:val="20"/>
        </w:rPr>
        <w:t xml:space="preserve">10.2. O prazo de que trata o item anterior será reduzido à metade, mantendo-se a possibilidade de prorrogação, no caso de contratações decorrentes de despesas cujos valores não ultrapassem o limite de que trata o </w:t>
      </w:r>
      <w:r>
        <w:fldChar w:fldCharType="begin"/>
      </w:r>
      <w:r>
        <w:rPr>
          <w:rStyle w:val="ListLabel20"/>
          <w:sz w:val="20"/>
          <w:u w:val="none"/>
          <w:b w:val="false"/>
          <w:szCs w:val="20"/>
          <w:bCs w:val="false"/>
          <w:rFonts w:ascii="Verdana" w:hAnsi="Verdana"/>
          <w:color w:val="000000"/>
        </w:rPr>
        <w:instrText xml:space="preserve"> HYPERLINK "http://www.planalto.gov.br/ccivil_03/_ato2019-2022/2021/lei/L14133.htm" \l "art75"</w:instrText>
      </w:r>
      <w:r>
        <w:rPr>
          <w:rStyle w:val="ListLabel20"/>
          <w:sz w:val="20"/>
          <w:u w:val="none"/>
          <w:b w:val="false"/>
          <w:szCs w:val="20"/>
          <w:bCs w:val="false"/>
          <w:rFonts w:ascii="Verdana" w:hAnsi="Verdana"/>
          <w:color w:val="000000"/>
        </w:rPr>
        <w:fldChar w:fldCharType="separate"/>
      </w:r>
      <w:r>
        <w:rPr>
          <w:rStyle w:val="ListLabel20"/>
          <w:rFonts w:ascii="Verdana" w:hAnsi="Verdana"/>
          <w:b w:val="false"/>
          <w:bCs w:val="false"/>
          <w:color w:val="000000"/>
          <w:sz w:val="20"/>
          <w:szCs w:val="20"/>
          <w:u w:val="none"/>
        </w:rPr>
        <w:t>inciso II do art. 75 da Lei nº 14.133, de 2021</w:t>
      </w:r>
      <w:r>
        <w:rPr>
          <w:rStyle w:val="ListLabel20"/>
          <w:sz w:val="20"/>
          <w:u w:val="none"/>
          <w:b w:val="false"/>
          <w:szCs w:val="20"/>
          <w:bCs w:val="false"/>
          <w:rFonts w:ascii="Verdana" w:hAnsi="Verdana"/>
          <w:color w:val="000000"/>
        </w:rPr>
        <w:fldChar w:fldCharType="end"/>
      </w:r>
      <w:r>
        <w:rPr>
          <w:rFonts w:ascii="Verdana" w:hAnsi="Verdana"/>
          <w:b w:val="false"/>
          <w:bCs w:val="false"/>
          <w:color w:val="000000"/>
          <w:sz w:val="20"/>
          <w:szCs w:val="20"/>
          <w:u w:val="none"/>
        </w:rPr>
        <w:t>.</w:t>
      </w:r>
    </w:p>
    <w:p>
      <w:pPr>
        <w:pStyle w:val="Normal"/>
        <w:spacing w:lineRule="auto" w:line="240"/>
        <w:ind w:hanging="0" w:left="-22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 xml:space="preserve">10.3. Para fins de liquidação, o setor competente deverá verificar se a nota fiscal ou instrumento de cobrança equivalente apresentado expressa os elementos necessários e essenciais do documento, tais como: </w:t>
      </w:r>
    </w:p>
    <w:p>
      <w:pPr>
        <w:pStyle w:val="Normal"/>
        <w:tabs>
          <w:tab w:val="clear" w:pos="708"/>
          <w:tab w:val="left" w:pos="563" w:leader="none"/>
        </w:tabs>
        <w:spacing w:lineRule="auto" w:line="240"/>
        <w:ind w:hanging="0" w:left="432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- O prazo de validade;</w:t>
      </w:r>
    </w:p>
    <w:p>
      <w:pPr>
        <w:pStyle w:val="Normal"/>
        <w:tabs>
          <w:tab w:val="clear" w:pos="708"/>
          <w:tab w:val="left" w:pos="563" w:leader="none"/>
        </w:tabs>
        <w:spacing w:lineRule="auto" w:line="240"/>
        <w:ind w:hanging="0" w:left="432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 xml:space="preserve">- A data da emissão; </w:t>
      </w:r>
    </w:p>
    <w:p>
      <w:pPr>
        <w:pStyle w:val="Normal"/>
        <w:tabs>
          <w:tab w:val="clear" w:pos="708"/>
          <w:tab w:val="left" w:pos="563" w:leader="none"/>
        </w:tabs>
        <w:spacing w:lineRule="auto" w:line="240"/>
        <w:ind w:hanging="0" w:left="432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 xml:space="preserve">- Os dados do contrato e do órgão contratante; </w:t>
      </w:r>
    </w:p>
    <w:p>
      <w:pPr>
        <w:pStyle w:val="Normal"/>
        <w:tabs>
          <w:tab w:val="clear" w:pos="708"/>
          <w:tab w:val="left" w:pos="563" w:leader="none"/>
        </w:tabs>
        <w:spacing w:lineRule="auto" w:line="240"/>
        <w:ind w:hanging="0" w:left="432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 xml:space="preserve">- O período respectivo de execução do contrato; </w:t>
      </w:r>
    </w:p>
    <w:p>
      <w:pPr>
        <w:pStyle w:val="Normal"/>
        <w:tabs>
          <w:tab w:val="clear" w:pos="708"/>
          <w:tab w:val="left" w:pos="563" w:leader="none"/>
        </w:tabs>
        <w:spacing w:lineRule="auto" w:line="240"/>
        <w:ind w:hanging="0" w:left="432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 xml:space="preserve">- O valor a pagar; e </w:t>
      </w:r>
    </w:p>
    <w:p>
      <w:pPr>
        <w:pStyle w:val="Normal"/>
        <w:tabs>
          <w:tab w:val="clear" w:pos="708"/>
          <w:tab w:val="left" w:pos="563" w:leader="none"/>
        </w:tabs>
        <w:spacing w:lineRule="auto" w:line="240"/>
        <w:ind w:hanging="0" w:left="432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- Eventual destaque do valor de retenções tributárias cabíveis.</w:t>
      </w:r>
    </w:p>
    <w:p>
      <w:pPr>
        <w:pStyle w:val="Normal"/>
        <w:tabs>
          <w:tab w:val="clear" w:pos="708"/>
          <w:tab w:val="left" w:pos="625" w:leader="none"/>
        </w:tabs>
        <w:spacing w:lineRule="auto" w:line="240"/>
        <w:ind w:hanging="0" w:left="-57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10.4. Haven</w:t>
      </w:r>
      <w:r>
        <w:rPr>
          <w:rFonts w:ascii="Verdana" w:hAnsi="Verdana"/>
          <w:sz w:val="20"/>
          <w:szCs w:val="20"/>
        </w:rPr>
        <w:t>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>
      <w:pPr>
        <w:pStyle w:val="Normal"/>
        <w:tabs>
          <w:tab w:val="clear" w:pos="708"/>
          <w:tab w:val="left" w:pos="109" w:leader="none"/>
        </w:tabs>
        <w:spacing w:lineRule="auto" w:line="240"/>
        <w:ind w:hanging="0" w:left="-22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10.5. A</w:t>
      </w:r>
      <w:r>
        <w:rPr>
          <w:rFonts w:ascii="Verdana" w:hAnsi="Verdana"/>
          <w:b w:val="false"/>
          <w:bCs w:val="false"/>
          <w:sz w:val="20"/>
          <w:szCs w:val="20"/>
          <w:lang w:eastAsia="en-US"/>
        </w:rPr>
        <w:t xml:space="preserve"> nota fisc</w:t>
      </w:r>
      <w:r>
        <w:rPr>
          <w:rFonts w:ascii="Verdana" w:hAnsi="Verdana"/>
          <w:sz w:val="20"/>
          <w:szCs w:val="20"/>
          <w:lang w:eastAsia="en-US"/>
        </w:rPr>
        <w:t>al ou instrumento de cobrança equivalente deverá ser obrigatoriamente acompanhado da comprovação da regularidade fiscal.</w:t>
      </w:r>
    </w:p>
    <w:p>
      <w:pPr>
        <w:pStyle w:val="Normal"/>
        <w:spacing w:lineRule="auto" w:line="240"/>
        <w:ind w:hanging="0" w:left="-22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 w:val="false"/>
          <w:iCs w:val="false"/>
          <w:sz w:val="20"/>
          <w:szCs w:val="20"/>
        </w:rPr>
        <w:t>10.6. O pagamento será efetuado no prazo de até 30 (trinta) dias úteis contados da finalização da liquidação da despesa.</w:t>
      </w:r>
    </w:p>
    <w:p>
      <w:pPr>
        <w:pStyle w:val="Normal"/>
        <w:spacing w:lineRule="auto" w:line="240"/>
        <w:ind w:hanging="0" w:left="-22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 w:val="false"/>
          <w:iCs w:val="false"/>
          <w:sz w:val="20"/>
          <w:szCs w:val="20"/>
        </w:rPr>
        <w:t>10.7. O pagamento será realizado por meio de ordem bancária, para crédito em banco, agência e conta corrente indicados pelo contratado.</w:t>
      </w:r>
    </w:p>
    <w:p>
      <w:pPr>
        <w:pStyle w:val="Normal"/>
        <w:spacing w:lineRule="auto" w:line="240"/>
        <w:ind w:hanging="0" w:left="-22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 w:val="false"/>
          <w:iCs w:val="false"/>
          <w:sz w:val="20"/>
          <w:szCs w:val="20"/>
        </w:rPr>
        <w:t>10.8. Será considerada data do pagamento o dia em que constar como emitida a ordem bancária para pagamento.</w:t>
      </w:r>
    </w:p>
    <w:p>
      <w:pPr>
        <w:pStyle w:val="Normal"/>
        <w:spacing w:lineRule="auto" w:line="240"/>
        <w:ind w:hanging="0" w:left="-79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 w:val="false"/>
          <w:iCs w:val="false"/>
          <w:sz w:val="20"/>
          <w:szCs w:val="20"/>
        </w:rPr>
        <w:t>10.9. Quando do pagamento, será efetuada a retenção tributária prevista na legislação aplicável.</w:t>
      </w:r>
    </w:p>
    <w:p>
      <w:pPr>
        <w:pStyle w:val="Normal"/>
        <w:spacing w:lineRule="auto" w:line="240"/>
        <w:ind w:hanging="0" w:left="-79" w:right="0"/>
        <w:jc w:val="both"/>
        <w:rPr/>
      </w:pPr>
      <w:r>
        <w:rPr>
          <w:rFonts w:ascii="Verdana" w:hAnsi="Verdana"/>
          <w:b w:val="false"/>
          <w:bCs w:val="false"/>
          <w:i w:val="false"/>
          <w:iCs w:val="false"/>
          <w:sz w:val="20"/>
          <w:szCs w:val="20"/>
          <w:lang w:eastAsia="en-US"/>
        </w:rPr>
        <w:t xml:space="preserve">10.10. O contratado regularmente optante pelo Simples Nacional, nos termos da </w:t>
      </w:r>
      <w:hyperlink r:id="rId3">
        <w:r>
          <w:rPr>
            <w:rStyle w:val="ListLabel21"/>
            <w:rFonts w:ascii="Verdana" w:hAnsi="Verdana"/>
            <w:b w:val="false"/>
            <w:bCs w:val="false"/>
            <w:i w:val="false"/>
            <w:iCs w:val="false"/>
            <w:sz w:val="20"/>
            <w:szCs w:val="20"/>
            <w:u w:val="none"/>
            <w:lang w:eastAsia="en-US"/>
          </w:rPr>
          <w:t>Lei Complementar nº 123, de 2006</w:t>
        </w:r>
      </w:hyperlink>
      <w:r>
        <w:rPr>
          <w:rFonts w:ascii="Verdana" w:hAnsi="Verdana"/>
          <w:b w:val="false"/>
          <w:bCs w:val="false"/>
          <w:i w:val="false"/>
          <w:iCs w:val="false"/>
          <w:sz w:val="20"/>
          <w:szCs w:val="20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>
      <w:pPr>
        <w:pStyle w:val="Normal"/>
        <w:spacing w:lineRule="auto" w:line="240"/>
        <w:ind w:hanging="0" w:left="-79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 w:val="false"/>
          <w:iCs w:val="false"/>
          <w:sz w:val="20"/>
          <w:szCs w:val="20"/>
          <w:lang w:eastAsia="en-US"/>
        </w:rPr>
        <w:t>10.11. Conforme Decreto Municipal nº 3.686/2023 será retido o Imposto de Renda na Fonte nos pagamentos efetuados por Órgãos, Autarquias e Fundações instituídas  e mantidas pelo Município de São Gabriel da Palha a pessoas jurídicas pelo fornecimento de bens e prestação de serviços.</w:t>
      </w:r>
    </w:p>
    <w:p>
      <w:pPr>
        <w:pStyle w:val="Normal"/>
        <w:spacing w:lineRule="auto" w:line="240"/>
        <w:ind w:hanging="0" w:left="-79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10.11.</w:t>
      </w:r>
      <w:r>
        <w:rPr>
          <w:rFonts w:ascii="Verdana" w:hAnsi="Verdana"/>
          <w:b/>
          <w:bCs/>
          <w:color w:val="000000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 Após o prazo acima referenciado, será paga multa financeira nos seguintes termos:</w:t>
      </w:r>
    </w:p>
    <w:p>
      <w:pPr>
        <w:pStyle w:val="PargrafodaLista"/>
        <w:tabs>
          <w:tab w:val="clear" w:pos="708"/>
          <w:tab w:val="left" w:pos="518" w:leader="none"/>
        </w:tabs>
        <w:spacing w:lineRule="auto" w:line="240"/>
        <w:ind w:hanging="0" w:left="0" w:right="0"/>
        <w:jc w:val="center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sz w:val="20"/>
          <w:szCs w:val="20"/>
        </w:rPr>
        <w:t xml:space="preserve">VM = VF </w:t>
      </w:r>
      <w:r>
        <w:rPr>
          <w:rFonts w:cs="Verdana" w:ascii="Verdana" w:hAnsi="Verdana"/>
          <w:sz w:val="20"/>
          <w:szCs w:val="20"/>
          <w:vertAlign w:val="subscript"/>
        </w:rPr>
        <w:t>*</w:t>
      </w:r>
      <w:r>
        <w:rPr>
          <w:rFonts w:cs="Verdana" w:ascii="Verdana" w:hAnsi="Verdana"/>
          <w:sz w:val="20"/>
          <w:szCs w:val="20"/>
        </w:rPr>
        <w:t xml:space="preserve"> </w:t>
      </w:r>
      <w:r>
        <w:rPr>
          <w:rFonts w:cs="Verdana" w:ascii="Verdana" w:hAnsi="Verdana"/>
          <w:sz w:val="20"/>
          <w:szCs w:val="20"/>
          <w:u w:val="single"/>
        </w:rPr>
        <w:t>0,33</w:t>
      </w:r>
      <w:r>
        <w:rPr>
          <w:rFonts w:cs="Verdana" w:ascii="Verdana" w:hAnsi="Verdana"/>
          <w:sz w:val="20"/>
          <w:szCs w:val="20"/>
        </w:rPr>
        <w:t xml:space="preserve"> </w:t>
      </w:r>
      <w:r>
        <w:rPr>
          <w:rFonts w:cs="Verdana" w:ascii="Verdana" w:hAnsi="Verdana"/>
          <w:sz w:val="20"/>
          <w:szCs w:val="20"/>
          <w:vertAlign w:val="subscript"/>
        </w:rPr>
        <w:t>*</w:t>
      </w:r>
      <w:r>
        <w:rPr>
          <w:rFonts w:cs="Verdana" w:ascii="Verdana" w:hAnsi="Verdana"/>
          <w:sz w:val="20"/>
          <w:szCs w:val="20"/>
        </w:rPr>
        <w:t xml:space="preserve"> ND</w:t>
      </w:r>
    </w:p>
    <w:p>
      <w:pPr>
        <w:pStyle w:val="PargrafodaLista"/>
        <w:tabs>
          <w:tab w:val="clear" w:pos="708"/>
          <w:tab w:val="left" w:pos="518" w:leader="none"/>
        </w:tabs>
        <w:spacing w:lineRule="auto" w:line="240"/>
        <w:ind w:hanging="0" w:left="0" w:right="0"/>
        <w:jc w:val="center"/>
        <w:rPr>
          <w:rFonts w:ascii="Verdana" w:hAnsi="Verdana"/>
          <w:sz w:val="20"/>
          <w:szCs w:val="20"/>
        </w:rPr>
      </w:pPr>
      <w:r>
        <w:rPr>
          <w:rFonts w:eastAsia="Verdana" w:cs="Verdana" w:ascii="Verdana" w:hAnsi="Verdana"/>
          <w:sz w:val="20"/>
          <w:szCs w:val="20"/>
        </w:rPr>
        <w:t xml:space="preserve">        </w:t>
      </w:r>
      <w:r>
        <w:rPr>
          <w:rFonts w:cs="Verdana" w:ascii="Verdana" w:hAnsi="Verdana"/>
          <w:sz w:val="20"/>
          <w:szCs w:val="20"/>
        </w:rPr>
        <w:t>100</w:t>
      </w:r>
    </w:p>
    <w:p>
      <w:pPr>
        <w:pStyle w:val="Normal"/>
        <w:suppressAutoHyphens w:val="false"/>
        <w:spacing w:lineRule="auto" w:line="240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color w:val="000000"/>
          <w:sz w:val="20"/>
          <w:szCs w:val="20"/>
        </w:rPr>
        <w:t xml:space="preserve">Onde: </w:t>
      </w:r>
    </w:p>
    <w:p>
      <w:pPr>
        <w:pStyle w:val="Normal"/>
        <w:suppressAutoHyphens w:val="false"/>
        <w:spacing w:lineRule="auto" w:line="240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color w:val="000000"/>
          <w:sz w:val="20"/>
          <w:szCs w:val="20"/>
        </w:rPr>
        <w:t xml:space="preserve">VM = Valor da Multa Financeira; </w:t>
      </w:r>
    </w:p>
    <w:p>
      <w:pPr>
        <w:pStyle w:val="Normal"/>
        <w:suppressAutoHyphens w:val="false"/>
        <w:spacing w:lineRule="auto" w:line="240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color w:val="000000"/>
          <w:sz w:val="20"/>
          <w:szCs w:val="20"/>
        </w:rPr>
        <w:t xml:space="preserve">VF = Valor da Nota Fiscal; </w:t>
      </w:r>
    </w:p>
    <w:p>
      <w:pPr>
        <w:pStyle w:val="PargrafodaLista"/>
        <w:tabs>
          <w:tab w:val="clear" w:pos="708"/>
          <w:tab w:val="left" w:pos="518" w:leader="none"/>
        </w:tabs>
        <w:spacing w:lineRule="auto" w:line="240"/>
        <w:ind w:hanging="0" w:left="0" w:right="0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color w:val="000000"/>
          <w:sz w:val="20"/>
          <w:szCs w:val="20"/>
        </w:rPr>
        <w:t>ND = Número de dias em atraso.</w:t>
      </w:r>
    </w:p>
    <w:p>
      <w:pPr>
        <w:pStyle w:val="Normal"/>
        <w:suppressAutoHyphens w:val="false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000000"/>
          <w:sz w:val="20"/>
          <w:szCs w:val="20"/>
        </w:rPr>
        <w:t xml:space="preserve">10.12.. 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>A NOTA FISCAL ELETRÔNICA deverá conter o mesmo CNPJ e razão social apresentados quando na proposta, assim como, o número da contratação, o (s) objeto (s), os valores unitários e totais.</w:t>
      </w:r>
    </w:p>
    <w:p>
      <w:pPr>
        <w:pStyle w:val="Normal"/>
        <w:suppressAutoHyphens w:val="false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000000"/>
          <w:sz w:val="20"/>
          <w:szCs w:val="20"/>
        </w:rPr>
        <w:t>10.13.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 xml:space="preserve"> Qualquer alteração feita no contrato social, ato constitutivo ou estatuto deverá ser co</w:t>
      </w:r>
      <w:r>
        <w:rPr>
          <w:rFonts w:cs="Arial" w:ascii="Verdana" w:hAnsi="Verdana"/>
          <w:color w:val="000000"/>
          <w:sz w:val="20"/>
          <w:szCs w:val="20"/>
        </w:rPr>
        <w:t xml:space="preserve">municado ao CONTRATANTE, mediante documentação própria, para apreciação da autoridade competente. </w:t>
      </w:r>
    </w:p>
    <w:p>
      <w:pPr>
        <w:pStyle w:val="Normal"/>
        <w:suppressAutoHyphens w:val="false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000000"/>
          <w:sz w:val="20"/>
          <w:szCs w:val="20"/>
        </w:rPr>
        <w:t xml:space="preserve">10.14. 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>O CONTRATANTE poderá deduzir do pagamento importâncias que a qualquer título lhe forem devidos pela empresa CONTRATADA, em decorrência de descumprimento de suas obrigações.</w:t>
      </w:r>
    </w:p>
    <w:p>
      <w:pPr>
        <w:pStyle w:val="Default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>10.15.</w:t>
      </w:r>
      <w:r>
        <w:rPr>
          <w:rFonts w:cs="Arial" w:ascii="Verdana" w:hAnsi="Verdana"/>
          <w:sz w:val="20"/>
          <w:szCs w:val="20"/>
        </w:rPr>
        <w:t xml:space="preserve"> Para a efetivação do pagamento, a CONTRATADA deverá manter as mesmas </w:t>
      </w:r>
      <w:r>
        <w:rPr>
          <w:rFonts w:cs="Arial" w:ascii="Verdana" w:hAnsi="Verdana"/>
          <w:sz w:val="20"/>
          <w:szCs w:val="20"/>
          <w:lang w:eastAsia="pt-BR"/>
        </w:rPr>
        <w:t>condições relativas à proposta de preço e a habilitação;</w:t>
      </w:r>
    </w:p>
    <w:p>
      <w:pPr>
        <w:pStyle w:val="Default"/>
        <w:spacing w:lineRule="auto" w:line="240"/>
        <w:jc w:val="both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/>
          <w:bCs/>
          <w:iCs/>
          <w:color w:val="000000"/>
          <w:sz w:val="20"/>
          <w:szCs w:val="20"/>
        </w:rPr>
        <w:t>11</w:t>
      </w:r>
      <w:r>
        <w:rPr>
          <w:rFonts w:ascii="Verdana" w:hAnsi="Verdana"/>
          <w:b/>
          <w:bCs/>
          <w:iCs/>
          <w:sz w:val="20"/>
          <w:szCs w:val="20"/>
        </w:rPr>
        <w:t>. DAS SANÇÕES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.1. Comete infração administrativa o fornecedor/prestador de serviço que cometer quaisquer das infrações previstas no art. 155 da Lei nº 14.133, de 2021, quais sejam: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.1.1. Dar causa à inexecução parcial do contrato.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.1.2. Dar causa à inexecução parcial que cause grave dano à Administração, ao funcionamento dos serviços públicos ou ao interesse coletivo.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.1.3. Dar causa à inexecução total;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.1.4. Deixar de entregar a documentação exigida para o certame.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.1.5. Não manter a proposta, salvo em decorrência de fato superveniente devidamente justificado.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 xml:space="preserve">.1.6. Não celebrar o contrato ou não entregar a documentação exigida para a contratação, quando convocado dentro do prazo de validade de sua proposta. 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.1.7. Ensejar o retardamento da execução ou da entrega do objeto sem motivo justificado,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.1.8. Apresentar declaração ou documentação falsa exigida para o certame ou prestar declaração falsa durante a dispensa eletrônica ou a execução do objeto.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</w:rPr>
        <w:t>11.1.9. Fraudar a dispensa eletrônica ou praticar ato fraudulento na execução do objeto.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.1.10. Comportar-se de modo inidôneo ou cometer fraude de qualquer natureza.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.1.10.1. Considera-se comportamento inidôneo, entre outros, a declaração falsa quanto às condições de participação, quanto ao enquadramento como ME/EPP ou o conluio entre os fornecedores, em qualquer momento da dispensa, mesmo após o encerramento da fase de lances.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.1.11. Praticar atos ilícitos com vistas a frustrar os objetivos deste certame.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.1.12. Praticar ato lesivo previsto no art. 5º da Lei nº 12.846, de 1º de agosto de 2013.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11.1.13.</w:t>
      </w:r>
      <w:r>
        <w:rPr>
          <w:rFonts w:ascii="Verdana" w:hAnsi="Verdana"/>
          <w:b w:val="false"/>
          <w:bCs w:val="false"/>
          <w:iCs/>
          <w:sz w:val="20"/>
          <w:szCs w:val="20"/>
        </w:rPr>
        <w:t xml:space="preserve"> O fornecedor que cometer qualquer das infrações discriminadas nos subitens anteriores fica</w:t>
      </w:r>
      <w:r>
        <w:rPr>
          <w:rFonts w:ascii="Verdana" w:hAnsi="Verdana"/>
          <w:iCs/>
          <w:sz w:val="20"/>
          <w:szCs w:val="20"/>
        </w:rPr>
        <w:t>rá sujeito, sem prejuízo da responsabilidade civil e criminal, às seguintes sanções: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>a) Advertência pela falta do subitem 11.1.1 deste Termo de Referência, quando não se justificar a imposição de penalidade mais grave.</w:t>
      </w:r>
    </w:p>
    <w:p>
      <w:pPr>
        <w:pStyle w:val="Normal"/>
        <w:spacing w:lineRule="auto" w:line="240"/>
        <w:ind w:hanging="0" w:left="-57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 xml:space="preserve">b) Multa, calculada na forma do edital, com base no total do valor da contratação realizada de forma direta e será aplicada ao responsável por qualquer das infrações administrativas previstas no item 11.1 deste Termo de Referência, no percentual de 10% (dez por cento), na hipótese de cometimento das infrações previstas nos itens 11.1.1 a </w:t>
      </w:r>
      <w:r>
        <w:rPr>
          <w:rFonts w:eastAsia="Times New Roman" w:cs="Times New Roman" w:ascii="Verdana" w:hAnsi="Verdana"/>
          <w:iCs/>
          <w:color w:val="000000"/>
          <w:sz w:val="20"/>
          <w:szCs w:val="20"/>
        </w:rPr>
        <w:t>11</w:t>
      </w:r>
      <w:r>
        <w:rPr>
          <w:rFonts w:ascii="Verdana" w:hAnsi="Verdana"/>
          <w:iCs/>
          <w:sz w:val="20"/>
          <w:szCs w:val="20"/>
        </w:rPr>
        <w:t xml:space="preserve">.1.7 e 20% (vinte por cento), se cometidas infrações previstas nos itens 11.1.8 a 11.1.12; </w:t>
      </w:r>
    </w:p>
    <w:p>
      <w:pPr>
        <w:pStyle w:val="Normal"/>
        <w:spacing w:lineRule="auto" w:line="240"/>
        <w:ind w:hanging="0" w:left="-57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ab/>
        <w:t>b.1) O valor da multa poderá ser descontado das faturas devidas à CONTRATADA;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 xml:space="preserve">b.2) A multa pode ser aplicada isoladamente ou juntamente com as penalidades definidas nos itens “c” e “d” abaixo: 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>c) Impedimento de licitar e contratar no âmbito da Administração Pública direta e indireta do ente federativo que tiver aplicado a sanção, pelo prazo máximo de 03 (três) anos, nos casos dos subitens 11.1.2 a 11.1.7 deste Termo de Referência, quando não se justificar a imposição de penalidade mais grave.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>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11.1.2 a 11.1.12, deste Termo de Referência.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.3. Na aplicação das sanções serão considerados: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.3.1. A natureza e a gravidade da infração cometida.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</w:rPr>
        <w:t>11.3.2. As peculiaridades do caso concreto.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</w:rPr>
        <w:t>11.3.3. As circunstâncias agravantes ou atenuantes.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</w:rPr>
        <w:t>11.3.4. Os danos que dela provierem para a Administração Pública.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.3.5. A implantação ou o aperfeiçoamento de programa de integridade, conforme normas e orientações dos órgãos de controle.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</w:rPr>
        <w:t>11.4.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  <w:lang w:eastAsia="en-US"/>
        </w:rPr>
        <w:t xml:space="preserve">11.5. </w:t>
      </w:r>
      <w:r>
        <w:rPr>
          <w:rFonts w:ascii="Verdana" w:hAnsi="Verdana"/>
          <w:iCs/>
          <w:sz w:val="20"/>
          <w:szCs w:val="20"/>
          <w:lang w:eastAsia="en-US"/>
        </w:rPr>
        <w:t>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40"/>
        <w:ind w:hanging="0" w:left="-79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  <w:lang w:eastAsia="en-US"/>
        </w:rPr>
        <w:t>12. DA HABILITAÇÃO</w:t>
      </w:r>
    </w:p>
    <w:p>
      <w:pPr>
        <w:pStyle w:val="Nivel01"/>
        <w:tabs>
          <w:tab w:val="left" w:pos="517" w:leader="none"/>
          <w:tab w:val="left" w:pos="567" w:leader="none"/>
          <w:tab w:val="left" w:pos="683" w:leader="none"/>
        </w:tabs>
        <w:spacing w:lineRule="auto" w:line="240" w:before="57" w:after="57"/>
        <w:ind w:hanging="0" w:left="-57" w:right="0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12.1 Como condição prévia ao exame da documentação de habilitação do licitante detentor da proposta classificada em primeiro lugar, o agente de contratação verificará o eventual descumprimento das condições de participação, especialmente quanto à existência de sanção que impeça a participação no certame ou a futura contratação, mediante a consulta aos seguintes cadastros:</w:t>
      </w:r>
    </w:p>
    <w:p>
      <w:pPr>
        <w:pStyle w:val="ListParagraph"/>
        <w:spacing w:lineRule="auto" w:line="240" w:before="57" w:after="57"/>
        <w:ind w:hanging="0" w:left="0" w:righ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a) SICAF;</w:t>
      </w:r>
    </w:p>
    <w:p>
      <w:pPr>
        <w:pStyle w:val="ListParagraph"/>
        <w:spacing w:lineRule="auto" w:line="240" w:before="57" w:after="57"/>
        <w:ind w:hanging="0" w:left="0" w:right="0"/>
        <w:contextualSpacing/>
        <w:jc w:val="both"/>
        <w:rPr/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b) Cadastro Nacional de Empresas Inidôneas e Suspensas – CEIS, mantido pela Controladoria-Geral da União (</w:t>
      </w:r>
      <w:hyperlink r:id="rId4">
        <w:r>
          <w:rPr>
            <w:rStyle w:val="ListLabel22"/>
            <w:rFonts w:cs="Verdana" w:ascii="Verdana" w:hAnsi="Verdana"/>
            <w:b w:val="false"/>
            <w:bCs w:val="false"/>
            <w:color w:val="000080"/>
            <w:sz w:val="20"/>
            <w:szCs w:val="20"/>
            <w:u w:val="single"/>
            <w:lang w:eastAsia="ar-SA"/>
          </w:rPr>
          <w:t>www.portaldatransparencia.gov.br/ceis</w:t>
        </w:r>
      </w:hyperlink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);</w:t>
      </w:r>
    </w:p>
    <w:p>
      <w:pPr>
        <w:pStyle w:val="ListParagraph"/>
        <w:spacing w:lineRule="auto" w:line="240" w:before="57" w:after="57"/>
        <w:ind w:hanging="0" w:left="0" w:right="0"/>
        <w:contextualSpacing/>
        <w:jc w:val="both"/>
        <w:rPr/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c) Cadastro Nacional de Condenações Cíveis por Atos de Improbidade Administrativa, mantido pelo Conselho Nacional de Justiça (</w:t>
      </w:r>
      <w:hyperlink r:id="rId5">
        <w:r>
          <w:rPr>
            <w:rStyle w:val="ListLabel22"/>
            <w:rFonts w:cs="Verdana" w:ascii="Verdana" w:hAnsi="Verdana"/>
            <w:b w:val="false"/>
            <w:bCs w:val="false"/>
            <w:color w:val="000080"/>
            <w:sz w:val="20"/>
            <w:szCs w:val="20"/>
            <w:u w:val="single"/>
            <w:lang w:eastAsia="ar-SA"/>
          </w:rPr>
          <w:t>www.cnj.jus.br/improbidade_adm/consultar_requerido.php</w:t>
        </w:r>
      </w:hyperlink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).</w:t>
      </w:r>
    </w:p>
    <w:p>
      <w:pPr>
        <w:pStyle w:val="ListParagraph"/>
        <w:spacing w:lineRule="auto" w:line="240" w:before="57" w:after="57"/>
        <w:ind w:hanging="0" w:left="0" w:righ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d) Cadastro de Inidôneos e o Cadastro Integrado de Condenações por Ilícitos Administrativos – CADICON, mantidos pelo Tribunal de Contas da União – TCU;</w:t>
      </w:r>
    </w:p>
    <w:p>
      <w:pPr>
        <w:pStyle w:val="Normal"/>
        <w:spacing w:lineRule="auto" w:line="240" w:before="57" w:after="57"/>
        <w:jc w:val="both"/>
        <w:rPr/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e) Cadastro de empresas inid</w:t>
      </w:r>
      <w:r>
        <w:rPr>
          <w:rFonts w:cs="Verdana" w:ascii="Verdana" w:hAnsi="Verdana"/>
          <w:b w:val="false"/>
          <w:bCs w:val="false"/>
          <w:sz w:val="20"/>
          <w:szCs w:val="20"/>
        </w:rPr>
        <w:t>ôneas, mantido pelo Tribunal de Contas do Estado do Espírito Santo –TCE/ES(https://www.tcees.tc.br/portal-da-transparencia/consultas/lista-de-responsaveis/empresas-inidoneas/) e proibidas de contratar com o Poder Público estadual ou municipal(</w:t>
      </w:r>
      <w:hyperlink r:id="rId6">
        <w:r>
          <w:rPr>
            <w:rStyle w:val="ListLabel23"/>
            <w:rFonts w:cs="Verdana" w:ascii="Verdana" w:hAnsi="Verdana"/>
            <w:b w:val="false"/>
            <w:bCs w:val="false"/>
            <w:color w:val="000080"/>
            <w:sz w:val="20"/>
            <w:szCs w:val="20"/>
            <w:u w:val="single"/>
          </w:rPr>
          <w:t>https://www.tcees.tc.br/portal-da-transparencia/consultas/lista-de</w:t>
        </w:r>
      </w:hyperlink>
      <w:r>
        <w:rPr>
          <w:rFonts w:cs="Verdana" w:ascii="Verdana" w:hAnsi="Verdana"/>
          <w:b w:val="false"/>
          <w:bCs w:val="false"/>
          <w:sz w:val="20"/>
          <w:szCs w:val="20"/>
        </w:rPr>
        <w:t xml:space="preserve"> responsáveis/proibidos-de-contratar/).</w:t>
      </w:r>
    </w:p>
    <w:p>
      <w:pPr>
        <w:pStyle w:val="Normal"/>
        <w:spacing w:lineRule="auto" w:line="240" w:before="57" w:after="57"/>
        <w:jc w:val="both"/>
        <w:rPr/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 xml:space="preserve">12.1.1. </w:t>
      </w:r>
      <w:r>
        <w:rPr>
          <w:rFonts w:cs="Verdana" w:ascii="Verdana" w:hAnsi="Verdana"/>
          <w:sz w:val="20"/>
          <w:szCs w:val="20"/>
          <w:lang w:eastAsia="ar-SA"/>
        </w:rPr>
        <w:t>Para a consulta de licitantes pessoa jurídica poderá haver a substituição das consultas das alíneas “b”, “c” e “d” acima pela Consulta Consolidada de Pessoa Jurídica do TCU (</w:t>
      </w:r>
      <w:hyperlink r:id="rId7">
        <w:r>
          <w:rPr>
            <w:rStyle w:val="ListLabel24"/>
            <w:rFonts w:cs="Verdana" w:ascii="Verdana" w:hAnsi="Verdana"/>
            <w:color w:val="000080"/>
            <w:sz w:val="20"/>
            <w:szCs w:val="20"/>
            <w:u w:val="single"/>
            <w:lang w:eastAsia="ar-SA"/>
          </w:rPr>
          <w:t>https://certidoesapf.apps.tcu.gov.br/</w:t>
        </w:r>
      </w:hyperlink>
      <w:r>
        <w:rPr>
          <w:rFonts w:cs="Verdana" w:ascii="Verdana" w:hAnsi="Verdana"/>
          <w:sz w:val="20"/>
          <w:szCs w:val="20"/>
          <w:lang w:eastAsia="ar-SA"/>
        </w:rPr>
        <w:t>);</w:t>
      </w:r>
    </w:p>
    <w:p>
      <w:pPr>
        <w:pStyle w:val="Normal"/>
        <w:spacing w:lineRule="auto" w:line="240" w:before="57" w:after="57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12.1.2. 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>
      <w:pPr>
        <w:pStyle w:val="ListParagraph"/>
        <w:tabs>
          <w:tab w:val="clear" w:pos="708"/>
          <w:tab w:val="left" w:pos="733" w:leader="none"/>
          <w:tab w:val="left" w:pos="900" w:leader="none"/>
        </w:tabs>
        <w:spacing w:lineRule="auto" w:line="240" w:before="57" w:after="57"/>
        <w:ind w:hanging="0" w:left="0" w:righ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12.1.2.1</w:t>
      </w:r>
      <w:r>
        <w:rPr>
          <w:rFonts w:cs="Verdana" w:ascii="Verdana" w:hAnsi="Verdana"/>
          <w:b/>
          <w:bCs/>
          <w:color w:val="000000"/>
          <w:sz w:val="20"/>
          <w:szCs w:val="20"/>
        </w:rPr>
        <w:t>.</w:t>
      </w:r>
      <w:r>
        <w:rPr>
          <w:rFonts w:cs="Verdana" w:ascii="Verdana" w:hAnsi="Verdana"/>
          <w:bCs/>
          <w:color w:val="000000"/>
          <w:sz w:val="20"/>
          <w:szCs w:val="20"/>
        </w:rPr>
        <w:t xml:space="preserve">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>
      <w:pPr>
        <w:pStyle w:val="ListParagraph"/>
        <w:tabs>
          <w:tab w:val="clear" w:pos="708"/>
          <w:tab w:val="left" w:pos="733" w:leader="none"/>
          <w:tab w:val="left" w:pos="900" w:leader="none"/>
        </w:tabs>
        <w:spacing w:lineRule="auto" w:line="240" w:before="57" w:after="57"/>
        <w:ind w:hanging="0" w:left="0" w:righ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12.1.2.2. A tentativa de burla será verificada por meio dos vínculos societários, linhas de fornecimento similares, dentre outros.</w:t>
      </w:r>
    </w:p>
    <w:p>
      <w:pPr>
        <w:pStyle w:val="ListParagraph"/>
        <w:tabs>
          <w:tab w:val="clear" w:pos="708"/>
          <w:tab w:val="left" w:pos="733" w:leader="none"/>
          <w:tab w:val="left" w:pos="900" w:leader="none"/>
        </w:tabs>
        <w:spacing w:lineRule="auto" w:line="240" w:before="57" w:after="57"/>
        <w:ind w:hanging="0" w:left="0" w:righ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12.1.2.3. O licitante será convocado para manifestação previamente à sua desclassificação.</w:t>
      </w:r>
    </w:p>
    <w:p>
      <w:pPr>
        <w:pStyle w:val="ListParagraph"/>
        <w:spacing w:lineRule="auto" w:line="240" w:before="57" w:after="57"/>
        <w:ind w:hanging="0" w:left="0" w:righ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12.1.3 .Constatada a existência de sanção, o Pregoeiro reputará o licitante inabilitado, por falta de condição de participação.</w:t>
      </w:r>
    </w:p>
    <w:p>
      <w:pPr>
        <w:pStyle w:val="ListParagraph"/>
        <w:spacing w:lineRule="auto" w:line="240" w:before="57" w:after="57"/>
        <w:ind w:hanging="0" w:left="0" w:righ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12.1.4. No caso de inabilitação, haverá nova verificação, pelo sistema, da eventual ocorrência do empate ficto, previsto nos arts. 44 e 45 da Lei Complementar nº 123, de 2006, seguindo-se a disciplina antes estabelecida para aceitação da proposta subsequente.</w:t>
      </w:r>
    </w:p>
    <w:p>
      <w:pPr>
        <w:pStyle w:val="ListParagraph"/>
        <w:tabs>
          <w:tab w:val="clear" w:pos="708"/>
          <w:tab w:val="left" w:pos="567" w:leader="none"/>
        </w:tabs>
        <w:spacing w:lineRule="auto" w:line="240" w:before="57" w:after="57"/>
        <w:ind w:hanging="0" w:left="0" w:righ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 xml:space="preserve">12.2. </w:t>
      </w: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 xml:space="preserve">Caso atendidas as condições de participação, </w:t>
      </w:r>
      <w:r>
        <w:rPr>
          <w:rFonts w:cs="Verdana" w:ascii="Verdana" w:hAnsi="Verdana"/>
          <w:b w:val="false"/>
          <w:bCs w:val="false"/>
          <w:sz w:val="20"/>
          <w:szCs w:val="20"/>
        </w:rPr>
        <w:t>a habilitação dos licitantes será verificada por meio do SICAF, nos documentos por ele abrangidos</w:t>
      </w: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>
      <w:pPr>
        <w:pStyle w:val="ListParagraph"/>
        <w:spacing w:lineRule="auto" w:line="240" w:before="57" w:after="57"/>
        <w:ind w:hanging="0" w:left="0" w:righ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12.2.1. O interessado, para efeitos de habilitação prevista na Instrução Normativa SEGES/MP nº 03, de 2018 mediante utilização do sistema, deverá atender às condições exigidas no cadastramento no SICAF até o terceiro dia útil anterior à data prevista para recebimento das propostas;</w:t>
      </w:r>
    </w:p>
    <w:p>
      <w:pPr>
        <w:pStyle w:val="ListParagraph"/>
        <w:spacing w:lineRule="auto" w:line="240" w:before="57" w:after="57"/>
        <w:ind w:hanging="0" w:left="0" w:righ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12.2.2. 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>
      <w:pPr>
        <w:pStyle w:val="ListParagraph"/>
        <w:spacing w:lineRule="auto" w:line="240" w:before="57" w:after="57"/>
        <w:ind w:hanging="0" w:left="0" w:righ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12.2.3. O descumprimento do subitem acima implicará a inabilitação do licitante, exceto se a consulta aos sítios eletrônicos oficiais emissores de certidões feita pelo Pregoeiro lograr êxito em encontrar a(s) certidão(ões) válida(s), conforme art. 43, §3º, do Decreto 10.024, de 2019.</w:t>
      </w:r>
    </w:p>
    <w:p>
      <w:pPr>
        <w:pStyle w:val="ListParagraph"/>
        <w:spacing w:lineRule="auto" w:line="240" w:before="57" w:after="57"/>
        <w:ind w:hanging="0" w:left="0" w:righ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12.3. Ha</w:t>
      </w:r>
      <w:r>
        <w:rPr>
          <w:rFonts w:cs="Verdana" w:ascii="Verdana" w:hAnsi="Verdana"/>
          <w:color w:val="000000"/>
          <w:sz w:val="20"/>
          <w:szCs w:val="20"/>
        </w:rPr>
        <w:t xml:space="preserve">vendo a necessidade de envio de documentos de habilitação complementares, necessários à confirmação daqueles exigidos neste Edital e já apresentados, o licitante será convocado a encaminhá-los, em formato digital, via sistema, no prazo de 02 (duas) horas, sob pena de inabilitação. </w:t>
      </w:r>
    </w:p>
    <w:p>
      <w:pPr>
        <w:pStyle w:val="ListParagraph"/>
        <w:spacing w:lineRule="auto" w:line="240" w:before="57" w:after="57"/>
        <w:ind w:hanging="0" w:left="0" w:righ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</w:rPr>
        <w:t>12.4 Somente haverá a necessidade de comprovação do preenchimento de requisitos mediante apresentação dos documentos originais não-digitais quando houver dúvida em relação à integridade do documento digital.</w:t>
      </w:r>
    </w:p>
    <w:p>
      <w:pPr>
        <w:pStyle w:val="ListParagraph"/>
        <w:spacing w:lineRule="auto" w:line="240" w:before="57" w:after="57"/>
        <w:ind w:hanging="0" w:left="0" w:righ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</w:rPr>
        <w:t>12.5 Não serão aceitos documentos de habilitação com indicação de CNPJ/CPF diferentes, salvo aqueles legalmente permitidos.</w:t>
      </w:r>
    </w:p>
    <w:p>
      <w:pPr>
        <w:pStyle w:val="ListParagraph"/>
        <w:spacing w:lineRule="auto" w:line="240" w:before="57" w:after="57"/>
        <w:ind w:hanging="0" w:left="0" w:righ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</w:rPr>
        <w:t>12.6 Serão aceitos registros de CNPJ de licitante matriz e filial com diferenças de números de documentos pertinentes ao CND e ao CRF/FGTS, quando for comprovada a centralização do recolhimento dessas contribuições.</w:t>
      </w:r>
    </w:p>
    <w:p>
      <w:pPr>
        <w:pStyle w:val="ListParagraph"/>
        <w:spacing w:lineRule="auto" w:line="240" w:before="57" w:after="57"/>
        <w:ind w:hanging="0" w:left="0" w:righ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</w:rPr>
        <w:t>12.7 Ress</w:t>
      </w:r>
      <w:r>
        <w:rPr>
          <w:rFonts w:cs="Verdana" w:ascii="Verdana" w:hAnsi="Verdana"/>
          <w:sz w:val="20"/>
          <w:szCs w:val="20"/>
        </w:rPr>
        <w:t>alvado o disposto no item 5.3, os licitantes deverão encaminhar, nos termos deste Edital, a documentação relacionada nos itens a seguir, para fins de habilitação:</w:t>
      </w:r>
    </w:p>
    <w:p>
      <w:pPr>
        <w:pStyle w:val="ListParagraph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/>
          <w:bCs/>
          <w:color w:val="000000"/>
          <w:sz w:val="20"/>
          <w:szCs w:val="20"/>
        </w:rPr>
        <w:t>12.8 Habilitação jurídica</w:t>
      </w:r>
    </w:p>
    <w:p>
      <w:pPr>
        <w:pStyle w:val="ListParagraph"/>
        <w:spacing w:lineRule="auto" w:line="240" w:before="57" w:after="57"/>
        <w:ind w:hanging="0" w:left="0" w:righ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12.8.1 No caso de empresário individual: inscrição no Registro Público de Empresas Mercantis, a cargo da Junta Comercial da respectiva sede.</w:t>
      </w:r>
    </w:p>
    <w:p>
      <w:pPr>
        <w:pStyle w:val="ListParagraph"/>
        <w:spacing w:lineRule="auto" w:line="240" w:before="57" w:after="57"/>
        <w:ind w:hanging="0" w:left="0" w:right="0"/>
        <w:contextualSpacing/>
        <w:jc w:val="both"/>
        <w:rPr/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 xml:space="preserve">12.8.2 Em se tratando de microempreendedor individual – MEI: Certificado da Condição de Microempreendedor Individual – CCMEI, cuja aceitação ficará condicionada à verificação da autenticidade no sítio </w:t>
      </w:r>
      <w:hyperlink r:id="rId8">
        <w:r>
          <w:rPr>
            <w:rStyle w:val="ListLabel25"/>
            <w:rFonts w:cs="Verdana" w:ascii="Verdana" w:hAnsi="Verdana"/>
            <w:b w:val="false"/>
            <w:bCs w:val="false"/>
            <w:color w:val="000000"/>
            <w:sz w:val="20"/>
            <w:szCs w:val="20"/>
            <w:u w:val="single"/>
          </w:rPr>
          <w:t>www.portaldoempreendedor.gov.br</w:t>
        </w:r>
      </w:hyperlink>
      <w:r>
        <w:rPr>
          <w:rFonts w:cs="Verdana" w:ascii="Verdana" w:hAnsi="Verdana"/>
          <w:b w:val="false"/>
          <w:bCs w:val="false"/>
          <w:color w:val="000000"/>
          <w:sz w:val="20"/>
          <w:szCs w:val="20"/>
          <w:u w:val="single"/>
        </w:rPr>
        <w:t>.</w:t>
      </w:r>
    </w:p>
    <w:p>
      <w:pPr>
        <w:pStyle w:val="ListParagraph"/>
        <w:spacing w:lineRule="auto" w:line="240" w:before="57" w:after="57"/>
        <w:ind w:hanging="0" w:left="0" w:righ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12.8.3 No caso de sociedade empresária ou empresa individual de responsabilidade limitada – EIRELI: ato constitutivo, estatuto ou contrato social em vigor, devidamente registrado na Junta Comercial da respectiva sede, acompanhado de documento comprobatório de seus administradores.</w:t>
      </w:r>
    </w:p>
    <w:p>
      <w:pPr>
        <w:pStyle w:val="ListParagraph"/>
        <w:spacing w:lineRule="auto" w:line="240" w:before="57" w:after="57"/>
        <w:ind w:hanging="0" w:left="0" w:righ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12.8.4 Inscrição no Registro Público de Empresas Mercantis onde opera, com averbação no Registro onde tem sede a matriz, no caso de ser o participante sucursal, filial ou agência.</w:t>
      </w:r>
    </w:p>
    <w:p>
      <w:pPr>
        <w:pStyle w:val="ListParagraph"/>
        <w:spacing w:lineRule="auto" w:line="240" w:before="57" w:after="57"/>
        <w:ind w:hanging="0" w:left="0" w:righ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12.8.5 No caso de sociedade simples: inscrição do ato constitutivo no Registro Civil das Pessoas Jurídicas do local de sua sede, acompanhada de prova da indicação dos seus administradores.</w:t>
      </w:r>
    </w:p>
    <w:p>
      <w:pPr>
        <w:pStyle w:val="ListParagraph"/>
        <w:spacing w:lineRule="auto" w:line="240" w:before="57" w:after="57"/>
        <w:ind w:hanging="0" w:left="0" w:righ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12.8.6 No caso 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1971.</w:t>
      </w:r>
    </w:p>
    <w:p>
      <w:pPr>
        <w:pStyle w:val="ListParagraph"/>
        <w:spacing w:lineRule="auto" w:line="240" w:before="57" w:after="57"/>
        <w:ind w:hanging="0" w:left="0" w:righ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12.8.7 No</w:t>
      </w:r>
      <w:r>
        <w:rPr>
          <w:rFonts w:cs="Verdana" w:ascii="Verdana" w:hAnsi="Verdana"/>
          <w:bCs/>
          <w:color w:val="000000"/>
          <w:sz w:val="20"/>
          <w:szCs w:val="20"/>
        </w:rPr>
        <w:t xml:space="preserve"> caso de empresa ou sociedade estrangeira em funcionamento no País: decreto de autorização.</w:t>
      </w:r>
    </w:p>
    <w:p>
      <w:pPr>
        <w:pStyle w:val="ListParagraph"/>
        <w:spacing w:lineRule="auto" w:line="240" w:before="57" w:after="57"/>
        <w:ind w:hanging="0" w:left="0" w:righ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12.8.8 Os documentos acima deverão estar acompanhados de todas as alterações ou da con</w:t>
      </w:r>
      <w:r>
        <w:rPr>
          <w:rFonts w:cs="Verdana" w:ascii="Verdana" w:hAnsi="Verdana"/>
          <w:bCs/>
          <w:color w:val="000000"/>
          <w:sz w:val="20"/>
          <w:szCs w:val="20"/>
        </w:rPr>
        <w:t>solidação respectiva.</w:t>
      </w:r>
    </w:p>
    <w:p>
      <w:pPr>
        <w:pStyle w:val="ListParagraph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/>
          <w:bCs/>
          <w:color w:val="000000"/>
          <w:sz w:val="20"/>
          <w:szCs w:val="20"/>
        </w:rPr>
        <w:t xml:space="preserve">12.9 Regularidade fiscal </w:t>
      </w:r>
      <w:r>
        <w:rPr>
          <w:rFonts w:cs="Verdana" w:ascii="Verdana" w:hAnsi="Verdana"/>
          <w:b/>
          <w:bCs/>
          <w:sz w:val="20"/>
          <w:szCs w:val="20"/>
        </w:rPr>
        <w:t>e trabalhista</w:t>
      </w:r>
    </w:p>
    <w:p>
      <w:pPr>
        <w:pStyle w:val="Normal"/>
        <w:spacing w:lineRule="auto" w:line="240" w:before="57" w:after="57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lang w:eastAsia="en-US"/>
        </w:rPr>
        <w:t>12.9.1 Prova de inscrição no Cadastro Nacional de Pessoas Jurídicas ou no Cadastro de Pessoas Físicas, conforme o caso.</w:t>
      </w:r>
    </w:p>
    <w:p>
      <w:pPr>
        <w:pStyle w:val="Normal"/>
        <w:spacing w:lineRule="auto" w:line="240" w:before="57" w:after="57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lang w:eastAsia="en-US"/>
        </w:rPr>
        <w:t>12.9.2 Certidão de regularidade junto à fazenda pública Municipal, do domicílio do Licitante.</w:t>
      </w:r>
    </w:p>
    <w:p>
      <w:pPr>
        <w:pStyle w:val="Normal"/>
        <w:spacing w:lineRule="auto" w:line="240" w:before="57" w:after="57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</w:rPr>
        <w:t>12.9.3 Certidão de regularidade junto à fazenda pública Estadual, do domicílio do Licitante.</w:t>
      </w:r>
    </w:p>
    <w:p>
      <w:pPr>
        <w:pStyle w:val="Normal"/>
        <w:spacing w:lineRule="auto" w:line="240" w:before="57" w:after="57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</w:rPr>
        <w:t>12.9.4 Certidão conjunta de regularidade junto à fazenda pública Federal, (Quitação de tributos e contribuições Federais e Quanto à dívida ativa da União) e junto ao INSS, conforme Portaria MF nº 358 de 05/09/2014.</w:t>
      </w:r>
    </w:p>
    <w:p>
      <w:pPr>
        <w:pStyle w:val="Normal"/>
        <w:spacing w:lineRule="auto" w:line="240" w:before="57" w:after="57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</w:rPr>
        <w:t>12.9.5 Certidão de regularidade junto ao FGTS;</w:t>
      </w:r>
    </w:p>
    <w:p>
      <w:pPr>
        <w:pStyle w:val="Normal"/>
        <w:spacing w:lineRule="auto" w:line="240" w:before="57" w:after="57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lang w:eastAsia="en-US"/>
        </w:rPr>
        <w:t>12.9.6 Certidão Negativa De Débitos Trabalhistas (CNDT) de acordo com a Lei 12440 de 7 de julho de 2011.</w:t>
      </w:r>
    </w:p>
    <w:p>
      <w:pPr>
        <w:pStyle w:val="Normal"/>
        <w:spacing w:lineRule="auto" w:line="240" w:before="57" w:after="57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  <w:lang w:eastAsia="en-US" w:bidi="pt-BR"/>
        </w:rPr>
        <w:t xml:space="preserve">12.9.7 Caso o vencedor do menor preço seja qualificado como microempresa ou empresa de pequeno porte </w:t>
      </w:r>
      <w:r>
        <w:rPr>
          <w:rFonts w:cs="Verdana" w:ascii="Verdana" w:hAnsi="Verdana"/>
          <w:b w:val="false"/>
          <w:bCs w:val="false"/>
          <w:color w:val="000000"/>
          <w:sz w:val="20"/>
          <w:szCs w:val="20"/>
          <w:lang w:eastAsia="en-US"/>
        </w:rPr>
        <w:t>deverá apresentar toda a documentação exigida para efeito de</w:t>
      </w:r>
      <w:r>
        <w:rPr>
          <w:rFonts w:cs="Verdana" w:ascii="Verdana" w:hAnsi="Verdana"/>
          <w:color w:val="000000"/>
          <w:sz w:val="20"/>
          <w:szCs w:val="20"/>
          <w:lang w:eastAsia="en-US"/>
        </w:rPr>
        <w:t xml:space="preserve"> comprovação de regularidade fiscal, mesmo que esta apresente alguma restrição, sob pena de inabilitação.</w:t>
      </w:r>
    </w:p>
    <w:p>
      <w:pPr>
        <w:pStyle w:val="ListParagraph"/>
        <w:spacing w:lineRule="auto" w:line="240" w:before="57" w:after="57"/>
        <w:ind w:hanging="0" w:left="0" w:righ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/>
          <w:color w:val="000000"/>
          <w:sz w:val="20"/>
          <w:szCs w:val="20"/>
        </w:rPr>
        <w:t>12.10 Qualificação Econômico-Financeira</w:t>
      </w:r>
    </w:p>
    <w:p>
      <w:pPr>
        <w:pStyle w:val="Normal"/>
        <w:tabs>
          <w:tab w:val="clear" w:pos="708"/>
          <w:tab w:val="left" w:pos="850" w:leader="none"/>
        </w:tabs>
        <w:spacing w:lineRule="auto" w:line="240" w:before="57" w:after="57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12.10.1 Certidão negativa de falência, recuperação judicial e extrajudicial, expedida pelo cartório distribuidor da sede da Licitante ou por meio digital, emitida em até 30 (trinta) dias anteriores à data de abertura da Licitação;</w:t>
      </w:r>
    </w:p>
    <w:p>
      <w:pPr>
        <w:pStyle w:val="Normal"/>
        <w:tabs>
          <w:tab w:val="clear" w:pos="708"/>
          <w:tab w:val="left" w:pos="850" w:leader="none"/>
        </w:tabs>
        <w:spacing w:lineRule="auto" w:line="240" w:before="57" w:after="57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12.10.2 Havendo algum prazo de validade estabelecido por cartório na certidão citada na letra anterior, será considerado o prazo constante da certidão para comprovação da sua validade.</w:t>
      </w:r>
    </w:p>
    <w:p>
      <w:pPr>
        <w:pStyle w:val="Normal"/>
        <w:tabs>
          <w:tab w:val="clear" w:pos="708"/>
          <w:tab w:val="left" w:pos="850" w:leader="none"/>
        </w:tabs>
        <w:spacing w:lineRule="auto" w:line="240" w:before="57" w:after="57"/>
        <w:ind w:hanging="0" w:left="-57" w:righ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</w:rPr>
        <w:t>12.10.3 Para a contagem do prazo estabelecido na letra “a” deste capítulo, será contado a partir do primeiro dia que antecede a data da realização desta licitação.</w:t>
      </w:r>
    </w:p>
    <w:p>
      <w:pPr>
        <w:pStyle w:val="Normal"/>
        <w:tabs>
          <w:tab w:val="clear" w:pos="708"/>
          <w:tab w:val="left" w:pos="850" w:leader="none"/>
        </w:tabs>
        <w:spacing w:lineRule="auto" w:line="240" w:before="0" w:after="0"/>
        <w:ind w:hanging="0" w:left="-79" w:righ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  <w:lang w:eastAsia="en-US"/>
        </w:rPr>
        <w:t xml:space="preserve">12.10.4 </w:t>
      </w:r>
      <w:r>
        <w:rPr>
          <w:rFonts w:cs="Verdana" w:ascii="Verdana" w:hAnsi="Verdana"/>
          <w:color w:val="000000"/>
          <w:sz w:val="20"/>
          <w:szCs w:val="20"/>
          <w:lang w:eastAsia="en-US"/>
        </w:rPr>
        <w:t>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cs="Arial"/>
          <w:b/>
          <w:color w:val="auto"/>
          <w:sz w:val="20"/>
          <w:szCs w:val="20"/>
        </w:rPr>
      </w:pPr>
      <w:r>
        <w:rPr>
          <w:rFonts w:cs="Arial" w:ascii="Verdana" w:hAnsi="Verdana"/>
          <w:b/>
          <w:color w:val="auto"/>
          <w:sz w:val="20"/>
          <w:szCs w:val="20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color w:val="auto"/>
          <w:sz w:val="20"/>
          <w:szCs w:val="20"/>
        </w:rPr>
        <w:t>13. JUSTIFICATIVA PARA O PARCELAMENTO OU NÃO DA SOLUÇÃO</w:t>
      </w:r>
    </w:p>
    <w:p>
      <w:pPr>
        <w:pStyle w:val="Normal"/>
        <w:spacing w:lineRule="auto" w:line="240" w:before="0" w:after="0"/>
        <w:ind w:hanging="0" w:left="0" w:right="-425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13.1. O objeto da contratação será composto por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19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 itens, de preço total estimado orçado pela administração no valor</w:t>
      </w:r>
      <w:r>
        <w:rPr>
          <w:rFonts w:eastAsia="Arial" w:cs="Arial" w:ascii="Verdana" w:hAnsi="Verdana"/>
          <w:b w:val="false"/>
          <w:bCs w:val="false"/>
          <w:sz w:val="20"/>
          <w:szCs w:val="20"/>
          <w:shd w:fill="auto" w:val="clear"/>
        </w:rPr>
        <w:t xml:space="preserve"> R$ 108.583,50 (cento  e oito mil quinhentos e oitenta e três reais e cinquenta centavos)</w:t>
      </w:r>
      <w:r>
        <w:rPr>
          <w:rFonts w:eastAsia="Arial" w:cs="Arial" w:ascii="Verdana" w:hAnsi="Verdana"/>
          <w:b w:val="false"/>
          <w:bCs w:val="false"/>
          <w:i w:val="false"/>
          <w:strike w:val="false"/>
          <w:dstrike w:val="false"/>
          <w:outline w:val="false"/>
          <w:shadow w:val="false"/>
          <w:sz w:val="20"/>
          <w:szCs w:val="20"/>
          <w:u w:val="none"/>
          <w:shd w:fill="auto" w:val="clear"/>
          <w:em w:val="none"/>
        </w:rPr>
        <w:t>.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 Para fins de classificação, será considerado o menor preço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global.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 Compete à administração buscar o menor dispêndio possível de recursos, assegurando a qualidade da prestação dos serviços,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>
      <w:pPr>
        <w:pStyle w:val="Normal"/>
        <w:spacing w:lineRule="auto" w:line="240" w:before="0" w:after="0"/>
        <w:ind w:hanging="0" w:left="0" w:right="-425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>13.2. O registro de preços se torna a solução mais vantajosa, visto a frequência das a</w:t>
      </w:r>
      <w:r>
        <w:rPr>
          <w:rFonts w:cs="Arial" w:ascii="Verdana" w:hAnsi="Verdana"/>
          <w:sz w:val="20"/>
          <w:szCs w:val="20"/>
          <w:shd w:fill="auto" w:val="clear"/>
        </w:rPr>
        <w:t>quisições de mesma natureza e objeto frente ao grande consumo desses materiais na Secretaria de Assistência Social.</w:t>
      </w:r>
    </w:p>
    <w:p>
      <w:pPr>
        <w:pStyle w:val="Normal"/>
        <w:spacing w:lineRule="auto" w:line="240" w:before="0" w:after="0"/>
        <w:ind w:hanging="0" w:left="0" w:right="-425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  <w:shd w:fill="auto" w:val="clear"/>
        </w:rPr>
        <w:t>13.3. Justifica-se a aquisição do kit de forma global, visto que comumente a aquisição se dá por compra isolada dos itens que compõem o kit  recém-nascido, ou seja, as empresas ganhadoras possuem um prazo para entregá-los, o que não significa que estes serão entregues por todos os fornecedores de modo sincronizado. Observa-se que isto já acarretou a entrega dos kits fracionados aos cidadãos em situação de vulnerabilidade social, uma vez que o mesmo ao requerer o auxílio, deve ser atendido de modo imediato. [E valido enfatizar que a entrega do kit é feita por profissional habilitado que ao ouvir a demanda relatada, pode realizar visita domiciliar, a fim de averiguar outras fragilidades e necessidade de um acompanhamento por período estendido.</w:t>
      </w:r>
    </w:p>
    <w:p>
      <w:pPr>
        <w:pStyle w:val="Normal"/>
        <w:spacing w:lineRule="auto" w:line="240" w:before="0" w:after="0"/>
        <w:ind w:hanging="0" w:left="0" w:right="-425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>Neste sentido, justifica-se o requerimento de aquisição de kit (menor preço global) e não compra de itens fracionados, que fica condicionada a uma entrega variável por parte das empresas, no qual o maior prejudicado é o cidadão na condição de vulnerabilidade.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sz w:val="20"/>
          <w:szCs w:val="20"/>
          <w:shd w:fill="auto" w:val="clear"/>
        </w:rPr>
      </w:pPr>
      <w:r>
        <w:rPr>
          <w:rFonts w:cs="Arial" w:ascii="Verdana" w:hAnsi="Verdana"/>
          <w:sz w:val="20"/>
          <w:szCs w:val="20"/>
          <w:shd w:fill="auto" w:val="clear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14. RESULTADOS PRETENDIDOS COM A CONTRATAÇÃO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>14.1 Os resultados</w:t>
      </w:r>
      <w:r>
        <w:rPr>
          <w:rFonts w:cs="Arial" w:ascii="Verdana" w:hAnsi="Verdana"/>
          <w:sz w:val="20"/>
          <w:szCs w:val="20"/>
        </w:rPr>
        <w:t xml:space="preserve"> pretendidos com o registro de preço tem como objetivo </w:t>
      </w:r>
      <w:r>
        <w:rPr>
          <w:rFonts w:eastAsia="Times New Roman" w:cs="Arial" w:ascii="Verdana" w:hAnsi="Verdana"/>
          <w:color w:val="auto"/>
          <w:kern w:val="0"/>
          <w:sz w:val="20"/>
          <w:szCs w:val="20"/>
          <w:lang w:val="pt-BR" w:eastAsia="zh-CN" w:bidi="ar-SA"/>
        </w:rPr>
        <w:t xml:space="preserve">proporcionar o acesso aos serviços e benefícios socioassistenciais a gestantes que se encontram em situação de vulnerabilidade social atendidas pelo Técnico de Serviço Social que identifica a necessidade. </w:t>
      </w:r>
    </w:p>
    <w:p>
      <w:pPr>
        <w:pStyle w:val="Normal"/>
        <w:spacing w:lineRule="auto" w:line="240" w:before="0" w:after="0"/>
        <w:ind w:hanging="0" w:left="0" w:right="-425"/>
        <w:jc w:val="both"/>
        <w:rPr>
          <w:rFonts w:ascii="Verdana" w:hAnsi="Verdana"/>
          <w:sz w:val="20"/>
          <w:szCs w:val="20"/>
          <w:shd w:fill="auto" w:val="clear"/>
        </w:rPr>
      </w:pPr>
      <w:r>
        <w:rPr>
          <w:rFonts w:ascii="Verdana" w:hAnsi="Verdana"/>
          <w:sz w:val="20"/>
          <w:szCs w:val="20"/>
          <w:shd w:fill="auto" w:val="clear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15. PROVIDÊNCIAS A SEREM ADOTADAS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 xml:space="preserve">15.1. A Administração Pública contará com a Secretaria Municipal de Assistência Social e Secretaria Municipal de Educação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lang w:val="pt-BR" w:eastAsia="zh-CN" w:bidi="ar-SA"/>
        </w:rPr>
        <w:t xml:space="preserve">responsável por acompanhar a entrega dos produtos, </w:t>
      </w:r>
      <w:r>
        <w:rPr>
          <w:rFonts w:cs="Arial" w:ascii="Verdana" w:hAnsi="Verdana"/>
          <w:b w:val="false"/>
          <w:bCs w:val="false"/>
          <w:sz w:val="20"/>
          <w:szCs w:val="20"/>
        </w:rPr>
        <w:t>recebimento e conferência das especificações contidas no processo licitatório.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  <w:shd w:fill="auto" w:val="clear"/>
        </w:rPr>
      </w:pPr>
      <w:r>
        <w:rPr>
          <w:rFonts w:ascii="Verdana" w:hAnsi="Verdana"/>
          <w:sz w:val="20"/>
          <w:szCs w:val="20"/>
          <w:shd w:fill="auto" w:val="clear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16. CONTRATAÇÕES CORRELATAS E/OU INTERDEPENDENTES</w:t>
      </w:r>
    </w:p>
    <w:p>
      <w:pPr>
        <w:pStyle w:val="Normal"/>
        <w:widowControl/>
        <w:suppressAutoHyphens w:val="false"/>
        <w:bidi w:val="0"/>
        <w:spacing w:lineRule="auto" w:line="24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 xml:space="preserve">16.1. Não se verifica contratações correlatas ou interdependentes para a viabilidade </w:t>
      </w:r>
      <w:r>
        <w:rPr>
          <w:rFonts w:cs="Arial" w:ascii="Verdana" w:hAnsi="Verdana"/>
          <w:sz w:val="20"/>
          <w:szCs w:val="20"/>
        </w:rPr>
        <w:t>e contratação desta demanda.</w:t>
      </w:r>
    </w:p>
    <w:p>
      <w:pPr>
        <w:pStyle w:val="Normal"/>
        <w:widowControl/>
        <w:suppressAutoHyphens w:val="false"/>
        <w:bidi w:val="0"/>
        <w:spacing w:lineRule="auto" w:line="24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</w:rPr>
        <w:t>16.2. Poderá, um terceiro interessado, não participante da licitação, aderir ao Registro de Preços desde que atenda as disposições legais previstas na Lei  nº 14.133/2021 e ao Decreto Municipal nº 3.609/2023, principalmente no que tange aos quantitativos máximos permitidos.</w:t>
      </w:r>
    </w:p>
    <w:p>
      <w:pPr>
        <w:pStyle w:val="Normal"/>
        <w:widowControl/>
        <w:suppressAutoHyphens w:val="false"/>
        <w:bidi w:val="0"/>
        <w:spacing w:lineRule="auto" w:line="24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>17. POSSÍVEIS IMPACTOS AMBIENTAIS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  <w:shd w:fill="auto" w:val="clear"/>
        </w:rPr>
        <w:t>17.1.</w:t>
      </w:r>
      <w:r>
        <w:rPr>
          <w:rFonts w:ascii="Verdana" w:hAnsi="Verdana"/>
          <w:b/>
          <w:bCs/>
          <w:sz w:val="20"/>
          <w:szCs w:val="20"/>
          <w:shd w:fill="auto" w:val="clear"/>
        </w:rPr>
        <w:t xml:space="preserve">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Não há previsão de impacto ambiental para a contratação em tela.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0" w:right="0"/>
        <w:jc w:val="both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18. DECLARAÇÃO E JUSTIFICATIVA DA VIABILIDADE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>18.1. Neste sentido, a equipe de planejamento deste ETP e de acordo com a autoridade deste requerente, declara viável esta contratação, com base nos elementos apresentados neste documento.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>18.2. Considerando a necessidade constante de aquisição do kit recém nascido para a distribuição às pessoas em situação de vulnerabilidade, decidiu-se pelo registro de preços dos kit’s.</w:t>
      </w:r>
    </w:p>
    <w:p>
      <w:pPr>
        <w:pStyle w:val="Normal"/>
        <w:spacing w:lineRule="auto" w:line="240" w:before="0" w:after="0"/>
        <w:jc w:val="right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240"/>
        <w:ind w:hanging="0" w:left="0" w:right="0"/>
        <w:rPr>
          <w:rFonts w:ascii="Verdana" w:hAnsi="Verdana"/>
          <w:sz w:val="20"/>
          <w:szCs w:val="20"/>
        </w:rPr>
      </w:pPr>
      <w:r>
        <w:rPr>
          <w:rFonts w:cs="Times New Roman" w:ascii="Verdana" w:hAnsi="Verdana"/>
          <w:b/>
          <w:bCs/>
          <w:sz w:val="20"/>
          <w:szCs w:val="20"/>
        </w:rPr>
        <w:t xml:space="preserve">19. ADEQUAÇÃO ORÇAMENTÁRIA </w:t>
      </w:r>
    </w:p>
    <w:p>
      <w:pPr>
        <w:pStyle w:val="ListParagraph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19.1.</w:t>
      </w:r>
      <w:r>
        <w:rPr>
          <w:rFonts w:ascii="Verdana" w:hAnsi="Verdana"/>
          <w:b/>
          <w:bCs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As despesas decorrentes da presente </w:t>
      </w:r>
      <w:r>
        <w:rPr>
          <w:rFonts w:eastAsia="Times New Roman" w:cs="Times New Roman" w:ascii="Verdana" w:hAnsi="Verdana"/>
          <w:sz w:val="20"/>
          <w:szCs w:val="20"/>
        </w:rPr>
        <w:t>aquisição</w:t>
      </w:r>
      <w:r>
        <w:rPr>
          <w:rFonts w:ascii="Verdana" w:hAnsi="Verdana"/>
          <w:sz w:val="20"/>
          <w:szCs w:val="20"/>
        </w:rPr>
        <w:t xml:space="preserve"> correrão à conta de recursos específicos consignados no Lei Orçamentária Anual, bem como requisição do sistema presente nos autos, sendo a </w:t>
      </w:r>
      <w:r>
        <w:rPr>
          <w:rFonts w:eastAsia="Times New Roman" w:cs="Times New Roman" w:ascii="Verdana" w:hAnsi="Verdana"/>
          <w:sz w:val="20"/>
          <w:szCs w:val="20"/>
        </w:rPr>
        <w:t>aquisição</w:t>
      </w:r>
      <w:r>
        <w:rPr>
          <w:rFonts w:ascii="Verdana" w:hAnsi="Verdana"/>
          <w:sz w:val="20"/>
          <w:szCs w:val="20"/>
        </w:rPr>
        <w:t xml:space="preserve"> será atendida pelas seguintes dotações:</w:t>
      </w:r>
    </w:p>
    <w:p>
      <w:pPr>
        <w:pStyle w:val="Normal"/>
        <w:spacing w:lineRule="auto" w:line="240"/>
        <w:jc w:val="both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240" w:before="0" w:after="36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</w:rPr>
        <w:t>FICHA – FONTE: 00</w:t>
      </w:r>
      <w:r>
        <w:rPr>
          <w:rFonts w:eastAsia="Times New Roman" w:cs="Arial" w:ascii="Verdana" w:hAnsi="Verdana"/>
          <w:sz w:val="20"/>
          <w:szCs w:val="20"/>
        </w:rPr>
        <w:t>451-</w:t>
      </w:r>
      <w:r>
        <w:rPr>
          <w:rFonts w:cs="Arial" w:ascii="Verdana" w:hAnsi="Verdana"/>
          <w:sz w:val="20"/>
          <w:szCs w:val="20"/>
        </w:rPr>
        <w:t>1</w:t>
      </w:r>
      <w:r>
        <w:rPr>
          <w:rFonts w:eastAsia="Times New Roman" w:cs="Arial" w:ascii="Verdana" w:hAnsi="Verdana"/>
          <w:sz w:val="20"/>
          <w:szCs w:val="20"/>
        </w:rPr>
        <w:t xml:space="preserve">5000000000000 no valor estimado de </w:t>
      </w:r>
      <w:r>
        <w:rPr>
          <w:rFonts w:eastAsia="Arial" w:cs="Arial" w:ascii="Verdana" w:hAnsi="Verdana"/>
          <w:b w:val="false"/>
          <w:bCs w:val="false"/>
          <w:color w:val="000000"/>
          <w:sz w:val="20"/>
          <w:szCs w:val="20"/>
          <w:shd w:fill="auto" w:val="clear"/>
          <w:lang w:eastAsia="zh-CN"/>
        </w:rPr>
        <w:t>108.583,50 (cento  e oito mil quinhentos e oitenta e três reais e cinquenta centavos)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color w:val="000000"/>
          <w:sz w:val="20"/>
          <w:szCs w:val="20"/>
        </w:rPr>
        <w:t>20. DOS RESPONSÁVEIS PELA ELABORAÇÃO DO TERMO DE REFERÊNCIA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>20.1. A compilação d</w:t>
      </w:r>
      <w:r>
        <w:rPr>
          <w:rFonts w:eastAsia="Times New Roman" w:cs="Arial" w:ascii="Verdana" w:hAnsi="Verdana"/>
          <w:b w:val="false"/>
          <w:bCs w:val="false"/>
          <w:color w:val="000000"/>
          <w:sz w:val="20"/>
          <w:szCs w:val="20"/>
        </w:rPr>
        <w:t>e parte das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 xml:space="preserve"> informações mencionados </w:t>
      </w:r>
      <w:r>
        <w:rPr>
          <w:rFonts w:eastAsia="Times New Roman" w:cs="Arial" w:ascii="Verdana" w:hAnsi="Verdana"/>
          <w:b w:val="false"/>
          <w:bCs w:val="false"/>
          <w:color w:val="000000"/>
          <w:sz w:val="20"/>
          <w:szCs w:val="20"/>
        </w:rPr>
        <w:t>na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 xml:space="preserve"> elaboração deste Termo de Referência foram estruturadas através do DFD – Documento Formalizador de Demanda e ETP – Estudo Técnico Preliminar elaborado pela secretaria requisitante.</w:t>
      </w:r>
    </w:p>
    <w:p>
      <w:pPr>
        <w:pStyle w:val="Normal"/>
        <w:spacing w:lineRule="auto" w:line="240"/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40"/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São Gabriel da Palha, 07 de julho de 2026</w:t>
      </w:r>
    </w:p>
    <w:p>
      <w:pPr>
        <w:pStyle w:val="Normal"/>
        <w:spacing w:lineRule="auto" w:line="240"/>
        <w:jc w:val="right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>Elaborado por: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40"/>
        <w:ind w:hanging="0" w:left="708" w:right="0"/>
        <w:jc w:val="left"/>
        <w:rPr>
          <w:rFonts w:ascii="Verdana" w:hAnsi="Verdana" w:eastAsia="Times New Roman" w:cs="Arial"/>
          <w:b/>
          <w:bCs/>
          <w:i w:val="false"/>
          <w:i w:val="false"/>
          <w:caps w:val="false"/>
          <w:smallCaps w:val="false"/>
          <w:color w:val="000000"/>
          <w:spacing w:val="0"/>
          <w:sz w:val="20"/>
          <w:szCs w:val="20"/>
          <w:lang w:val="pt-BR" w:eastAsia="zh-CN" w:bidi="ar-SA"/>
        </w:rPr>
      </w:pPr>
      <w:r>
        <w:rPr>
          <w:rFonts w:eastAsia="Times New Roman" w:cs="Arial" w:ascii="Verdana" w:hAnsi="Verdana"/>
          <w:b/>
          <w:bCs/>
          <w:i w:val="false"/>
          <w:caps w:val="false"/>
          <w:smallCaps w:val="false"/>
          <w:color w:val="000000"/>
          <w:spacing w:val="0"/>
          <w:sz w:val="20"/>
          <w:szCs w:val="20"/>
          <w:lang w:val="pt-BR" w:eastAsia="zh-CN" w:bidi="ar-SA"/>
        </w:rPr>
      </w:r>
    </w:p>
    <w:p>
      <w:pPr>
        <w:pStyle w:val="Normal"/>
        <w:spacing w:lineRule="auto" w:line="240"/>
        <w:jc w:val="left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  <w:u w:val="none"/>
        </w:rPr>
        <w:t>ANDRESSA LINHARES MARTINS</w:t>
      </w:r>
    </w:p>
    <w:p>
      <w:pPr>
        <w:pStyle w:val="Normal"/>
        <w:spacing w:lineRule="auto" w:line="240"/>
        <w:jc w:val="left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  <w:u w:val="none"/>
        </w:rPr>
        <w:t xml:space="preserve">Agente de Serviços Técnicos -  Decreto nº </w:t>
      </w:r>
    </w:p>
    <w:p>
      <w:pPr>
        <w:pStyle w:val="Normal"/>
        <w:spacing w:lineRule="auto" w:line="240"/>
        <w:jc w:val="left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  <w:u w:val="none"/>
        </w:rPr>
        <w:t>Mat. nº 009838</w:t>
      </w:r>
    </w:p>
    <w:p>
      <w:pPr>
        <w:pStyle w:val="Normal"/>
        <w:spacing w:lineRule="auto" w:line="240"/>
        <w:jc w:val="left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240"/>
        <w:jc w:val="left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240"/>
        <w:jc w:val="lef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RODOLFO ANTÔNIO DA SILVA NETO</w:t>
      </w:r>
    </w:p>
    <w:p>
      <w:pPr>
        <w:pStyle w:val="Normal"/>
        <w:spacing w:lineRule="auto" w:line="240"/>
        <w:jc w:val="lef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Agente de Serviços Técnicos – Portaria n° 9.965/2025</w:t>
      </w:r>
    </w:p>
    <w:p>
      <w:pPr>
        <w:pStyle w:val="Normal"/>
        <w:spacing w:lineRule="auto" w:line="240"/>
        <w:jc w:val="left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>Mat. nº 000406</w:t>
      </w:r>
    </w:p>
    <w:p>
      <w:pPr>
        <w:pStyle w:val="Normal"/>
        <w:spacing w:lineRule="auto" w:line="240"/>
        <w:jc w:val="lef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40"/>
        <w:jc w:val="lef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40"/>
        <w:jc w:val="left"/>
        <w:rPr>
          <w:rFonts w:ascii="Verdana" w:hAnsi="Verdana" w:cs="Arial"/>
          <w:b w:val="false"/>
          <w:bCs w:val="false"/>
          <w:color w:val="000000"/>
          <w:sz w:val="20"/>
          <w:szCs w:val="20"/>
          <w:u w:val="none"/>
        </w:rPr>
      </w:pPr>
      <w:r>
        <w:rPr>
          <w:rFonts w:cs="Arial" w:ascii="Verdana" w:hAnsi="Verdana"/>
          <w:b w:val="false"/>
          <w:bCs w:val="false"/>
          <w:color w:val="000000"/>
          <w:sz w:val="20"/>
          <w:szCs w:val="20"/>
          <w:u w:val="none"/>
        </w:rPr>
      </w:r>
    </w:p>
    <w:p>
      <w:pPr>
        <w:pStyle w:val="Normal"/>
        <w:spacing w:lineRule="auto" w:line="240"/>
        <w:jc w:val="left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>RUTH BARBARA DA SILWA NASCIMENTO</w:t>
      </w:r>
    </w:p>
    <w:p>
      <w:pPr>
        <w:pStyle w:val="Normal"/>
        <w:spacing w:lineRule="auto" w:line="240"/>
        <w:jc w:val="left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>Agente de Serviços Técnicos - Decreto n° 4.816/2025.</w:t>
      </w:r>
    </w:p>
    <w:p>
      <w:pPr>
        <w:pStyle w:val="Normal"/>
        <w:spacing w:lineRule="auto" w:line="240"/>
        <w:jc w:val="left"/>
        <w:rPr/>
      </w:pPr>
      <w:hyperlink r:id="rId9">
        <w:r>
          <w:rPr>
            <w:rStyle w:val="ListLabel26"/>
            <w:rFonts w:ascii="Verdana" w:hAnsi="Verdana"/>
            <w:b w:val="false"/>
            <w:bCs w:val="false"/>
            <w:color w:val="000000"/>
            <w:sz w:val="20"/>
            <w:szCs w:val="20"/>
            <w:u w:val="none"/>
          </w:rPr>
          <w:t>Mat. nº 002983</w:t>
        </w:r>
      </w:hyperlink>
      <w:bookmarkEnd w:id="0"/>
      <w:bookmarkEnd w:id="1"/>
      <w:bookmarkEnd w:id="5"/>
      <w:bookmarkEnd w:id="7"/>
    </w:p>
    <w:p>
      <w:pPr>
        <w:pStyle w:val="Normal"/>
        <w:spacing w:lineRule="auto" w:line="240"/>
        <w:jc w:val="left"/>
        <w:rPr>
          <w:rFonts w:ascii="Verdana" w:hAnsi="Verdana"/>
          <w:b w:val="false"/>
          <w:bCs w:val="false"/>
          <w:color w:val="000000"/>
          <w:sz w:val="20"/>
          <w:szCs w:val="20"/>
          <w:u w:val="none"/>
        </w:rPr>
      </w:pPr>
      <w:r>
        <w:rPr>
          <w:rFonts w:ascii="Verdana" w:hAnsi="Verdana"/>
          <w:b w:val="false"/>
          <w:bCs w:val="false"/>
          <w:color w:val="000000"/>
          <w:sz w:val="20"/>
          <w:szCs w:val="20"/>
          <w:u w:val="none"/>
        </w:rPr>
      </w:r>
    </w:p>
    <w:p>
      <w:pPr>
        <w:pStyle w:val="Normal"/>
        <w:spacing w:lineRule="auto" w:line="240"/>
        <w:jc w:val="left"/>
        <w:rPr>
          <w:rFonts w:ascii="Verdana" w:hAnsi="Verdana"/>
          <w:b w:val="false"/>
          <w:bCs w:val="false"/>
          <w:color w:val="000000"/>
          <w:sz w:val="20"/>
          <w:szCs w:val="20"/>
          <w:u w:val="none"/>
        </w:rPr>
      </w:pPr>
      <w:r>
        <w:rPr>
          <w:rFonts w:ascii="Verdana" w:hAnsi="Verdana"/>
          <w:b w:val="false"/>
          <w:bCs w:val="false"/>
          <w:color w:val="000000"/>
          <w:sz w:val="20"/>
          <w:szCs w:val="20"/>
          <w:u w:val="none"/>
        </w:rPr>
      </w:r>
    </w:p>
    <w:p>
      <w:pPr>
        <w:pStyle w:val="Normal"/>
        <w:spacing w:lineRule="auto" w:line="240"/>
        <w:jc w:val="both"/>
        <w:rPr>
          <w:rFonts w:ascii="Verdana" w:hAnsi="Verdana"/>
          <w:b w:val="false"/>
          <w:bCs w:val="false"/>
          <w:color w:val="000000"/>
          <w:sz w:val="20"/>
          <w:szCs w:val="20"/>
          <w:u w:val="none"/>
        </w:rPr>
      </w:pPr>
      <w:r>
        <w:rPr>
          <w:rFonts w:ascii="Verdana" w:hAnsi="Verdana"/>
          <w:b w:val="false"/>
          <w:bCs w:val="false"/>
          <w:color w:val="000000"/>
          <w:sz w:val="20"/>
          <w:szCs w:val="20"/>
          <w:u w:val="none"/>
        </w:rPr>
      </w:r>
    </w:p>
    <w:p>
      <w:pPr>
        <w:pStyle w:val="Normal"/>
        <w:spacing w:lineRule="auto" w:line="240"/>
        <w:jc w:val="both"/>
        <w:rPr>
          <w:rFonts w:ascii="Verdana" w:hAnsi="Verdana"/>
          <w:b w:val="false"/>
          <w:bCs w:val="false"/>
          <w:color w:val="000000"/>
          <w:sz w:val="20"/>
          <w:szCs w:val="20"/>
          <w:u w:val="none"/>
        </w:rPr>
      </w:pPr>
      <w:r>
        <w:rPr>
          <w:rFonts w:ascii="Verdana" w:hAnsi="Verdana"/>
          <w:b w:val="false"/>
          <w:bCs w:val="false"/>
          <w:color w:val="000000"/>
          <w:sz w:val="20"/>
          <w:szCs w:val="20"/>
          <w:u w:val="none"/>
        </w:rPr>
      </w:r>
    </w:p>
    <w:p>
      <w:pPr>
        <w:pStyle w:val="Normal"/>
        <w:spacing w:lineRule="auto" w:line="240"/>
        <w:jc w:val="both"/>
        <w:rPr>
          <w:rFonts w:ascii="Verdana" w:hAnsi="Verdana"/>
          <w:b w:val="false"/>
          <w:bCs w:val="false"/>
          <w:color w:val="000000"/>
          <w:sz w:val="20"/>
          <w:szCs w:val="20"/>
          <w:u w:val="none"/>
        </w:rPr>
      </w:pPr>
      <w:r>
        <w:rPr>
          <w:rFonts w:ascii="Verdana" w:hAnsi="Verdana"/>
          <w:b w:val="false"/>
          <w:bCs w:val="false"/>
          <w:color w:val="000000"/>
          <w:sz w:val="20"/>
          <w:szCs w:val="20"/>
          <w:u w:val="none"/>
        </w:rPr>
      </w:r>
    </w:p>
    <w:sectPr>
      <w:headerReference w:type="even" r:id="rId10"/>
      <w:headerReference w:type="default" r:id="rId11"/>
      <w:headerReference w:type="first" r:id="rId12"/>
      <w:footerReference w:type="even" r:id="rId13"/>
      <w:footerReference w:type="default" r:id="rId14"/>
      <w:footerReference w:type="first" r:id="rId15"/>
      <w:type w:val="nextPage"/>
      <w:pgSz w:w="11906" w:h="16838"/>
      <w:pgMar w:left="1517" w:right="905" w:gutter="0" w:header="227" w:top="851" w:footer="567" w:bottom="851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mbria">
    <w:charset w:val="00"/>
    <w:family w:val="roman"/>
    <w:pitch w:val="variable"/>
  </w:font>
  <w:font w:name="Arial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Ecofont_Spranq_eco_Sans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0"/>
    <w:family w:val="roman"/>
    <w:pitch w:val="variable"/>
  </w:font>
  <w:font w:name="Verdana">
    <w:charset w:val="01"/>
    <w:family w:val="swiss"/>
    <w:pitch w:val="variable"/>
  </w:font>
  <w:font w:name="Verdana">
    <w:charset w:val="00"/>
    <w:family w:val="roman"/>
    <w:pitch w:val="variable"/>
  </w:font>
  <w:font w:name="Arial Narrow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pBdr>
        <w:top w:val="single" w:sz="4" w:space="1" w:color="000000"/>
      </w:pBdr>
      <w:tabs>
        <w:tab w:val="left" w:pos="540" w:leader="none"/>
        <w:tab w:val="center" w:pos="4419" w:leader="none"/>
        <w:tab w:val="center" w:pos="4536" w:leader="none"/>
        <w:tab w:val="right" w:pos="8838" w:leader="none"/>
      </w:tabs>
      <w:jc w:val="center"/>
      <w:rPr>
        <w:rFonts w:ascii="Tahoma" w:hAnsi="Tahoma" w:cs="Tahoma"/>
        <w:sz w:val="16"/>
        <w:szCs w:val="16"/>
      </w:rPr>
    </w:pPr>
    <w:r>
      <w:rPr>
        <w:rStyle w:val="PageNumber"/>
        <w:rFonts w:cs="Tahoma" w:ascii="Tahoma" w:hAnsi="Tahoma"/>
        <w:sz w:val="16"/>
        <w:szCs w:val="16"/>
      </w:rPr>
      <w:t xml:space="preserve">Praça Vicente Glazar, 159 | São Gabriel da Palha-ES | CEP 29780 000  </w:t>
    </w:r>
  </w:p>
  <w:p>
    <w:pPr>
      <w:pStyle w:val="Footer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PageNumber"/>
        <w:rFonts w:cs="Tahoma" w:ascii="Tahoma" w:hAnsi="Tahoma"/>
        <w:sz w:val="16"/>
        <w:szCs w:val="16"/>
      </w:rPr>
      <w:t>Fone/Fax (027) 3727-1366 | E-mail: compras@saogabriel.es.gov.br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pBdr>
        <w:top w:val="single" w:sz="4" w:space="1" w:color="000000"/>
      </w:pBdr>
      <w:tabs>
        <w:tab w:val="left" w:pos="540" w:leader="none"/>
        <w:tab w:val="center" w:pos="4419" w:leader="none"/>
        <w:tab w:val="center" w:pos="4536" w:leader="none"/>
        <w:tab w:val="right" w:pos="8838" w:leader="none"/>
      </w:tabs>
      <w:jc w:val="center"/>
      <w:rPr>
        <w:rFonts w:ascii="Tahoma" w:hAnsi="Tahoma" w:cs="Tahoma"/>
        <w:sz w:val="16"/>
        <w:szCs w:val="16"/>
      </w:rPr>
    </w:pPr>
    <w:r>
      <w:rPr>
        <w:rStyle w:val="PageNumber"/>
        <w:rFonts w:cs="Tahoma" w:ascii="Tahoma" w:hAnsi="Tahoma"/>
        <w:sz w:val="16"/>
        <w:szCs w:val="16"/>
      </w:rPr>
      <w:t xml:space="preserve">Praça Vicente Glazar, 159 | São Gabriel da Palha-ES | CEP 29780 000  </w:t>
    </w:r>
  </w:p>
  <w:p>
    <w:pPr>
      <w:pStyle w:val="Footer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PageNumber"/>
        <w:rFonts w:cs="Tahoma" w:ascii="Tahoma" w:hAnsi="Tahoma"/>
        <w:sz w:val="16"/>
        <w:szCs w:val="16"/>
      </w:rPr>
      <w:t>Fone/Fax (027) 3727-1366 | E-mail: compras@saogabriel.es.gov.br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>
        <w:rFonts w:ascii="Verdana" w:hAnsi="Verdana"/>
        <w:sz w:val="26"/>
        <w:szCs w:val="26"/>
      </w:rPr>
    </w:pPr>
    <w:r>
      <w:rPr>
        <w:rFonts w:ascii="Verdana" w:hAnsi="Verdana"/>
        <w:sz w:val="26"/>
        <w:szCs w:val="26"/>
      </w:rPr>
    </w:r>
  </w:p>
  <w:p>
    <w:pPr>
      <w:pStyle w:val="Normal"/>
      <w:rPr>
        <w:rFonts w:ascii="Verdana" w:hAnsi="Verdana"/>
        <w:sz w:val="26"/>
        <w:szCs w:val="26"/>
      </w:rPr>
    </w:pPr>
    <w:r>
      <w:rPr>
        <w:rFonts w:ascii="Verdana" w:hAnsi="Verdana"/>
        <w:sz w:val="26"/>
        <w:szCs w:val="26"/>
      </w:rPr>
      <w:drawing>
        <wp:anchor behindDoc="1" distT="0" distB="0" distL="114300" distR="114300" simplePos="0" locked="0" layoutInCell="0" allowOverlap="1" relativeHeight="13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Normal"/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  <w:br/>
    </w:r>
    <w:r>
      <w:rPr>
        <w:rFonts w:ascii="Arial Narrow" w:hAnsi="Arial Narrow"/>
        <w:b/>
        <w:sz w:val="20"/>
      </w:rPr>
      <w:t>Departamento De Compras e Contratos</w:t>
    </w:r>
  </w:p>
  <w:p>
    <w:pPr>
      <w:pStyle w:val="Normal"/>
      <w:jc w:val="center"/>
      <w:rPr>
        <w:rFonts w:ascii="Arial Narrow" w:hAnsi="Arial Narrow"/>
        <w:b/>
        <w:sz w:val="20"/>
      </w:rPr>
    </w:pPr>
    <w:r>
      <w:rPr>
        <w:rFonts w:ascii="Arial Narrow" w:hAnsi="Arial Narrow"/>
        <w:b/>
        <w:sz w:val="20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>
        <w:rFonts w:ascii="Verdana" w:hAnsi="Verdana"/>
        <w:sz w:val="26"/>
        <w:szCs w:val="26"/>
      </w:rPr>
    </w:pPr>
    <w:r>
      <w:rPr>
        <w:rFonts w:ascii="Verdana" w:hAnsi="Verdana"/>
        <w:sz w:val="26"/>
        <w:szCs w:val="26"/>
      </w:rPr>
    </w:r>
  </w:p>
  <w:p>
    <w:pPr>
      <w:pStyle w:val="Normal"/>
      <w:rPr>
        <w:rFonts w:ascii="Verdana" w:hAnsi="Verdana"/>
        <w:sz w:val="26"/>
        <w:szCs w:val="26"/>
      </w:rPr>
    </w:pPr>
    <w:r>
      <w:rPr>
        <w:rFonts w:ascii="Verdana" w:hAnsi="Verdana"/>
        <w:sz w:val="26"/>
        <w:szCs w:val="26"/>
      </w:rPr>
      <w:drawing>
        <wp:anchor behindDoc="1" distT="0" distB="0" distL="114300" distR="114300" simplePos="0" locked="0" layoutInCell="0" allowOverlap="1" relativeHeight="13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2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Normal"/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  <w:br/>
    </w:r>
    <w:r>
      <w:rPr>
        <w:rFonts w:ascii="Arial Narrow" w:hAnsi="Arial Narrow"/>
        <w:b/>
        <w:sz w:val="20"/>
      </w:rPr>
      <w:t>Departamento De Compras e Contratos</w:t>
    </w:r>
  </w:p>
  <w:p>
    <w:pPr>
      <w:pStyle w:val="Normal"/>
      <w:jc w:val="center"/>
      <w:rPr>
        <w:rFonts w:ascii="Arial Narrow" w:hAnsi="Arial Narrow"/>
        <w:b/>
        <w:sz w:val="20"/>
      </w:rPr>
    </w:pPr>
    <w:r>
      <w:rPr>
        <w:rFonts w:ascii="Arial Narrow" w:hAnsi="Arial Narrow"/>
        <w:b/>
        <w:sz w:val="20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5.%1 - "/>
      <w:lvlJc w:val="left"/>
      <w:pPr>
        <w:tabs>
          <w:tab w:val="num" w:pos="0"/>
        </w:tabs>
        <w:ind w:left="720" w:hanging="360"/>
      </w:pPr>
      <w:rPr>
        <w:sz w:val="20"/>
        <w:i w:val="false"/>
        <w:b/>
        <w:szCs w:val="20"/>
        <w:iCs w:val="false"/>
        <w:bCs/>
        <w:rFonts w:ascii="Verdana" w:hAnsi="Verdana" w:cs="Verdan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36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ahoma"/>
        <w:sz w:val="22"/>
        <w:szCs w:val="22"/>
        <w:lang w:val="pt-BR" w:eastAsia="en-US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pt-BR" w:eastAsia="pt-BR" w:bidi="ar-SA"/>
    </w:rPr>
  </w:style>
  <w:style w:type="paragraph" w:styleId="Heading1">
    <w:name w:val="Heading 1"/>
    <w:basedOn w:val="Normal"/>
    <w:next w:val="Normal"/>
    <w:link w:val="Ttulo1Char"/>
    <w:qFormat/>
    <w:pPr>
      <w:keepNext w:val="true"/>
      <w:keepLines/>
      <w:spacing w:before="480" w:after="0"/>
      <w:outlineLvl w:val="0"/>
    </w:pPr>
    <w:rPr>
      <w:rFonts w:ascii="Cambria" w:hAnsi="Cambria" w:eastAsia="Calibri" w:cs="Tahoma"/>
      <w:b/>
      <w:bCs/>
      <w:color w:themeColor="accent1" w:themeShade="bf" w:val="365F91"/>
      <w:sz w:val="28"/>
      <w:szCs w:val="28"/>
    </w:rPr>
  </w:style>
  <w:style w:type="paragraph" w:styleId="Heading2">
    <w:name w:val="Heading 2"/>
    <w:basedOn w:val="LO-normal"/>
    <w:next w:val="LO-normal"/>
    <w:qFormat/>
    <w:pPr>
      <w:keepNext w:val="true"/>
      <w:keepLines/>
      <w:spacing w:lineRule="auto" w:line="360" w:before="240" w:after="240"/>
      <w:jc w:val="both"/>
    </w:pPr>
    <w:rPr>
      <w:b/>
    </w:rPr>
  </w:style>
  <w:style w:type="paragraph" w:styleId="Heading3">
    <w:name w:val="Heading 3"/>
    <w:basedOn w:val="LO-normal"/>
    <w:next w:val="LO-normal"/>
    <w:qFormat/>
    <w:pPr>
      <w:keepNext w:val="true"/>
      <w:keepLines/>
    </w:pPr>
    <w:rPr>
      <w:i/>
    </w:rPr>
  </w:style>
  <w:style w:type="character" w:styleId="DefaultParagraphFont">
    <w:name w:val="Default Paragraph Font"/>
    <w:qFormat/>
    <w:rPr/>
  </w:style>
  <w:style w:type="character" w:styleId="PageNumber">
    <w:name w:val="Page Number"/>
    <w:basedOn w:val="DefaultParagraphFont"/>
    <w:qFormat/>
    <w:rPr/>
  </w:style>
  <w:style w:type="character" w:styleId="CabealhoChar">
    <w:name w:val="Cabeçalho Char"/>
    <w:basedOn w:val="DefaultParagraphFont"/>
    <w:qFormat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styleId="RodapChar">
    <w:name w:val="Rodapé Char"/>
    <w:basedOn w:val="DefaultParagraphFont"/>
    <w:qFormat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styleId="A6">
    <w:name w:val="A6"/>
    <w:qFormat/>
    <w:rPr>
      <w:color w:val="000000"/>
      <w:sz w:val="18"/>
      <w:u w:val="single"/>
    </w:rPr>
  </w:style>
  <w:style w:type="character" w:styleId="Hyperlink">
    <w:name w:val="Hyperlink"/>
    <w:qFormat/>
    <w:rPr>
      <w:color w:val="000080"/>
      <w:u w:val="single"/>
    </w:rPr>
  </w:style>
  <w:style w:type="character" w:styleId="CorpodetextoChar">
    <w:name w:val="Corpo de texto Char"/>
    <w:basedOn w:val="DefaultParagraphFont"/>
    <w:qFormat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styleId="CitaoChar">
    <w:name w:val="Citação Char"/>
    <w:basedOn w:val="DefaultParagraphFont"/>
    <w:qFormat/>
    <w:rPr>
      <w:rFonts w:ascii="Arial" w:hAnsi="Arial" w:eastAsia="Calibri" w:cs="Tahoma"/>
      <w:i/>
      <w:iCs/>
      <w:color w:val="000000"/>
      <w:sz w:val="20"/>
      <w:szCs w:val="24"/>
      <w:shd w:fill="FFFFCC" w:val="clear"/>
    </w:rPr>
  </w:style>
  <w:style w:type="character" w:styleId="Nivel1Char">
    <w:name w:val="Nivel1 Char"/>
    <w:basedOn w:val="DefaultParagraphFont"/>
    <w:link w:val="Nivel1"/>
    <w:qFormat/>
    <w:rPr>
      <w:rFonts w:ascii="Arial" w:hAnsi="Arial" w:eastAsia="Calibri" w:cs="Arial"/>
      <w:b/>
      <w:color w:val="000000"/>
      <w:sz w:val="32"/>
      <w:szCs w:val="32"/>
    </w:rPr>
  </w:style>
  <w:style w:type="character" w:styleId="Nivel2Char">
    <w:name w:val="Nivel 2 Char"/>
    <w:basedOn w:val="DefaultParagraphFont"/>
    <w:link w:val="Nivel2"/>
    <w:qFormat/>
    <w:rPr>
      <w:rFonts w:ascii="Arial" w:hAnsi="Arial" w:cs="Arial"/>
      <w:color w:val="000000"/>
    </w:rPr>
  </w:style>
  <w:style w:type="character" w:styleId="Strong">
    <w:name w:val="Strong"/>
    <w:qFormat/>
    <w:rPr>
      <w:b/>
      <w:bCs/>
    </w:rPr>
  </w:style>
  <w:style w:type="character" w:styleId="Ttulo1Char">
    <w:name w:val="Título 1 Char"/>
    <w:basedOn w:val="DefaultParagraphFont"/>
    <w:qFormat/>
    <w:rPr>
      <w:rFonts w:ascii="Cambria" w:hAnsi="Cambria" w:eastAsia="Calibri" w:cs="Tahoma"/>
      <w:b/>
      <w:bCs/>
      <w:color w:themeColor="accent1" w:themeShade="bf" w:val="365F91"/>
      <w:sz w:val="28"/>
      <w:szCs w:val="28"/>
      <w:lang w:eastAsia="pt-BR"/>
    </w:rPr>
  </w:style>
  <w:style w:type="character" w:styleId="Marcadores">
    <w:name w:val="Marcadores"/>
    <w:qFormat/>
    <w:rPr>
      <w:rFonts w:ascii="OpenSymbol" w:hAnsi="OpenSymbol" w:eastAsia="OpenSymbol" w:cs="OpenSymbol"/>
    </w:rPr>
  </w:style>
  <w:style w:type="character" w:styleId="FollowedHyperlink">
    <w:name w:val="FollowedHyperlink"/>
    <w:rPr>
      <w:color w:val="800080"/>
      <w:u w:val="single"/>
    </w:rPr>
  </w:style>
  <w:style w:type="character" w:styleId="WW8Num9z0">
    <w:name w:val="WW8Num9z0"/>
    <w:qFormat/>
    <w:rPr>
      <w:b/>
      <w:bCs/>
    </w:rPr>
  </w:style>
  <w:style w:type="character" w:styleId="WW8Num10z0">
    <w:name w:val="WW8Num10z0"/>
    <w:qFormat/>
    <w:rPr>
      <w:b/>
      <w:bCs/>
    </w:rPr>
  </w:style>
  <w:style w:type="character" w:styleId="Hyperlink1">
    <w:name w:val="Hyperlink1"/>
    <w:qFormat/>
    <w:rPr>
      <w:color w:val="000080"/>
      <w:u w:val="single"/>
    </w:rPr>
  </w:style>
  <w:style w:type="character" w:styleId="WW8Num2z0">
    <w:name w:val="WW8Num2z0"/>
    <w:qFormat/>
    <w:rPr>
      <w:rFonts w:ascii="Arial" w:hAnsi="Arial" w:eastAsia="Batang" w:cs="Arial"/>
      <w:b/>
      <w:i w:val="false"/>
      <w:sz w:val="24"/>
      <w:szCs w:val="24"/>
      <w:u w:val="none"/>
    </w:rPr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scayt-misspell-word">
    <w:name w:val="scayt-misspell-word"/>
    <w:qFormat/>
    <w:rPr/>
  </w:style>
  <w:style w:type="character" w:styleId="apple-converted-space">
    <w:name w:val="apple-converted-space"/>
    <w:qFormat/>
    <w:rPr/>
  </w:style>
  <w:style w:type="character" w:styleId="QuoteChar">
    <w:name w:val="Quote Char"/>
    <w:qFormat/>
    <w:rPr>
      <w:rFonts w:ascii="Ecofont_Spranq_eco_Sans" w:hAnsi="Ecofont_Spranq_eco_Sans" w:cs="Ecofont_Spranq_eco_Sans"/>
      <w:i/>
      <w:iCs/>
      <w:color w:val="000000"/>
      <w:sz w:val="24"/>
      <w:szCs w:val="24"/>
      <w:shd w:fill="FFFFCC" w:val="clear"/>
      <w:lang w:eastAsia="en-US"/>
    </w:rPr>
  </w:style>
  <w:style w:type="character" w:styleId="Nivel01Char">
    <w:name w:val="Nivel_01 Char"/>
    <w:qFormat/>
    <w:rPr>
      <w:rFonts w:ascii="Ecofont_Spranq_eco_Sans" w:hAnsi="Ecofont_Spranq_eco_Sans" w:eastAsia="ＭＳ ゴシック" w:cs="Times New Roman"/>
      <w:b/>
      <w:bCs/>
      <w:color w:val="365F91"/>
      <w:sz w:val="32"/>
      <w:szCs w:val="32"/>
    </w:rPr>
  </w:style>
  <w:style w:type="character" w:styleId="Nivel01Char1">
    <w:name w:val="Nivel 01 Char"/>
    <w:qFormat/>
    <w:rPr>
      <w:rFonts w:ascii="Ecofont_Spranq_eco_Sans" w:hAnsi="Ecofont_Spranq_eco_Sans" w:eastAsia="ＭＳ ゴシック"/>
      <w:b/>
      <w:bCs/>
      <w:color w:val="000000"/>
    </w:rPr>
  </w:style>
  <w:style w:type="character" w:styleId="AssuntodocomentrioChar">
    <w:name w:val="Assunto do comentário Char"/>
    <w:qFormat/>
    <w:rPr>
      <w:rFonts w:ascii="Arial" w:hAnsi="Arial" w:cs="Tahoma"/>
      <w:b/>
      <w:bCs/>
    </w:rPr>
  </w:style>
  <w:style w:type="character" w:styleId="TextodecomentrioChar">
    <w:name w:val="Texto de comentário Char"/>
    <w:qFormat/>
    <w:rPr>
      <w:rFonts w:ascii="Arial" w:hAnsi="Arial" w:cs="Tahoma"/>
    </w:rPr>
  </w:style>
  <w:style w:type="character" w:styleId="annotationreference">
    <w:name w:val="annotation reference"/>
    <w:qFormat/>
    <w:rPr>
      <w:sz w:val="18"/>
      <w:szCs w:val="18"/>
    </w:rPr>
  </w:style>
  <w:style w:type="character" w:styleId="GradeColorida-nfase1Char">
    <w:name w:val="Grade Colorida - Ênfase 1 Char"/>
    <w:qFormat/>
    <w:rPr>
      <w:rFonts w:ascii="Ecofont_Spranq_eco_Sans" w:hAnsi="Ecofont_Spranq_eco_Sans" w:eastAsia="Calibri"/>
      <w:i/>
      <w:iCs/>
      <w:color w:val="000000"/>
      <w:szCs w:val="24"/>
      <w:shd w:fill="FFFFCC" w:val="clear"/>
      <w:lang w:val="x-none" w:eastAsia="en-US"/>
    </w:rPr>
  </w:style>
  <w:style w:type="character" w:styleId="citao2Char">
    <w:name w:val="citação 2 Char"/>
    <w:qFormat/>
    <w:rPr>
      <w:rFonts w:ascii="Ecofont_Spranq_eco_Sans" w:hAnsi="Ecofont_Spranq_eco_Sans" w:eastAsia="Calibri" w:cs="Tahoma"/>
      <w:i/>
      <w:iCs/>
      <w:color w:val="000000"/>
      <w:shd w:fill="FFFFCC" w:val="clear"/>
      <w:lang w:eastAsia="en-US"/>
    </w:rPr>
  </w:style>
  <w:style w:type="character" w:styleId="apple-style-span">
    <w:name w:val="apple-style-span"/>
    <w:qFormat/>
    <w:rPr/>
  </w:style>
  <w:style w:type="character" w:styleId="normalchar1">
    <w:name w:val="normal__char1"/>
    <w:qFormat/>
    <w:rPr>
      <w:rFonts w:ascii="Arial" w:hAnsi="Arial" w:cs="Arial"/>
      <w:strike w:val="false"/>
      <w:dstrike w:val="false"/>
      <w:sz w:val="24"/>
      <w:szCs w:val="24"/>
      <w:u w:val="none"/>
      <w:effect w:val="none"/>
    </w:rPr>
  </w:style>
  <w:style w:type="character" w:styleId="Ttulo2Char">
    <w:name w:val="Título 2 Char"/>
    <w:qFormat/>
    <w:rPr>
      <w:b/>
      <w:color w:val="000000"/>
      <w:sz w:val="24"/>
    </w:rPr>
  </w:style>
  <w:style w:type="character" w:styleId="TextodebaloChar">
    <w:name w:val="Texto de balão Char"/>
    <w:qFormat/>
    <w:rPr>
      <w:rFonts w:ascii="Tahoma" w:hAnsi="Tahoma" w:cs="Tahoma"/>
      <w:sz w:val="16"/>
      <w:szCs w:val="16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CorpodetextoChar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CabealhoeRodap">
    <w:name w:val="Cabeçalho e Rodapé"/>
    <w:basedOn w:val="Normal"/>
    <w:qFormat/>
    <w:pPr/>
    <w:rPr/>
  </w:style>
  <w:style w:type="paragraph" w:styleId="Cabealhoerodap1">
    <w:name w:val="Cabeçalho e rodapé1"/>
    <w:basedOn w:val="Normal"/>
    <w:qFormat/>
    <w:pPr/>
    <w:rPr/>
  </w:style>
  <w:style w:type="paragraph" w:styleId="Cabealhoerodap2">
    <w:name w:val="Cabeçalho e rodapé2"/>
    <w:basedOn w:val="Normal"/>
    <w:qFormat/>
    <w:pPr/>
    <w:rPr/>
  </w:style>
  <w:style w:type="paragraph" w:styleId="Cabealhoerodap3">
    <w:name w:val="Cabeçalho e rodapé3"/>
    <w:basedOn w:val="Normal"/>
    <w:qFormat/>
    <w:pPr/>
    <w:rPr/>
  </w:style>
  <w:style w:type="paragraph" w:styleId="Cabealhoerodap4">
    <w:name w:val="Cabeçalho e rodapé4"/>
    <w:basedOn w:val="Normal"/>
    <w:qFormat/>
    <w:pPr/>
    <w:rPr/>
  </w:style>
  <w:style w:type="paragraph" w:styleId="Cabealhoerodap5">
    <w:name w:val="Cabeçalho e rodapé5"/>
    <w:basedOn w:val="Normal"/>
    <w:qFormat/>
    <w:pPr/>
    <w:rPr/>
  </w:style>
  <w:style w:type="paragraph" w:styleId="Cabealhoerodap6">
    <w:name w:val="Cabeçalho e rodapé6"/>
    <w:basedOn w:val="Normal"/>
    <w:qFormat/>
    <w:pPr/>
    <w:rPr/>
  </w:style>
  <w:style w:type="paragraph" w:styleId="Cabealhoerodap7">
    <w:name w:val="Cabeçalho e rodapé7"/>
    <w:basedOn w:val="Normal"/>
    <w:qFormat/>
    <w:pPr/>
    <w:rPr/>
  </w:style>
  <w:style w:type="paragraph" w:styleId="Cabealhoerodap8">
    <w:name w:val="Cabeçalho e rodapé8"/>
    <w:basedOn w:val="Normal"/>
    <w:qFormat/>
    <w:pPr/>
    <w:rPr/>
  </w:style>
  <w:style w:type="paragraph" w:styleId="Cabealhoerodap9">
    <w:name w:val="Cabeçalho e rodapé9"/>
    <w:basedOn w:val="Normal"/>
    <w:qFormat/>
    <w:pPr/>
    <w:rPr/>
  </w:style>
  <w:style w:type="paragraph" w:styleId="Cabealhoerodap10">
    <w:name w:val="Cabeçalho e rodapé10"/>
    <w:basedOn w:val="Normal"/>
    <w:qFormat/>
    <w:pPr/>
    <w:rPr/>
  </w:style>
  <w:style w:type="paragraph" w:styleId="Cabealhoerodap11">
    <w:name w:val="Cabeçalho e rodapé11"/>
    <w:basedOn w:val="Normal"/>
    <w:qFormat/>
    <w:pPr/>
    <w:rPr/>
  </w:style>
  <w:style w:type="paragraph" w:styleId="Cabealhoerodap12">
    <w:name w:val="Cabeçalho e rodapé12"/>
    <w:basedOn w:val="Normal"/>
    <w:qFormat/>
    <w:pPr/>
    <w:rPr/>
  </w:style>
  <w:style w:type="paragraph" w:styleId="Cabealhoerodap13">
    <w:name w:val="Cabeçalho e rodapé13"/>
    <w:basedOn w:val="Normal"/>
    <w:qFormat/>
    <w:pPr/>
    <w:rPr/>
  </w:style>
  <w:style w:type="paragraph" w:styleId="Cabealhoerodap14">
    <w:name w:val="Cabeçalho e rodapé14"/>
    <w:basedOn w:val="Normal"/>
    <w:qFormat/>
    <w:pPr/>
    <w:rPr/>
  </w:style>
  <w:style w:type="paragraph" w:styleId="Cabealhoerodap15">
    <w:name w:val="Cabeçalho e rodapé15"/>
    <w:basedOn w:val="Normal"/>
    <w:qFormat/>
    <w:pPr/>
    <w:rPr/>
  </w:style>
  <w:style w:type="paragraph" w:styleId="Cabealhoerodap16">
    <w:name w:val="Cabeçalho e rodapé16"/>
    <w:basedOn w:val="Normal"/>
    <w:qFormat/>
    <w:pPr/>
    <w:rPr/>
  </w:style>
  <w:style w:type="paragraph" w:styleId="Cabealhoerodap17">
    <w:name w:val="Cabeçalho e rodapé17"/>
    <w:basedOn w:val="Normal"/>
    <w:qFormat/>
    <w:pPr/>
    <w:rPr/>
  </w:style>
  <w:style w:type="paragraph" w:styleId="Cabealhoerodap18">
    <w:name w:val="Cabeçalho e rodapé18"/>
    <w:basedOn w:val="Normal"/>
    <w:qFormat/>
    <w:pPr/>
    <w:rPr/>
  </w:style>
  <w:style w:type="paragraph" w:styleId="Cabealhoerodap19">
    <w:name w:val="Cabeçalho e rodapé19"/>
    <w:basedOn w:val="Normal"/>
    <w:qFormat/>
    <w:pPr/>
    <w:rPr/>
  </w:style>
  <w:style w:type="paragraph" w:styleId="Cabealhoerodap20">
    <w:name w:val="Cabeçalho e rodapé20"/>
    <w:basedOn w:val="Normal"/>
    <w:qFormat/>
    <w:pPr/>
    <w:rPr/>
  </w:style>
  <w:style w:type="paragraph" w:styleId="Cabealhoerodap21">
    <w:name w:val="Cabeçalho e rodapé21"/>
    <w:basedOn w:val="Normal"/>
    <w:qFormat/>
    <w:pPr/>
    <w:rPr/>
  </w:style>
  <w:style w:type="paragraph" w:styleId="Header">
    <w:name w:val="Header"/>
    <w:basedOn w:val="Normal"/>
    <w:link w:val="CabealhoChar"/>
    <w:pPr>
      <w:tabs>
        <w:tab w:val="clear" w:pos="708"/>
        <w:tab w:val="center" w:pos="4419" w:leader="none"/>
        <w:tab w:val="right" w:pos="8838" w:leader="none"/>
      </w:tabs>
    </w:pPr>
    <w:rPr/>
  </w:style>
  <w:style w:type="paragraph" w:styleId="Footer">
    <w:name w:val="Footer"/>
    <w:basedOn w:val="Normal"/>
    <w:link w:val="RodapChar"/>
    <w:pPr>
      <w:tabs>
        <w:tab w:val="clear" w:pos="708"/>
        <w:tab w:val="center" w:pos="4419" w:leader="none"/>
        <w:tab w:val="right" w:pos="8838" w:leader="none"/>
      </w:tabs>
    </w:pPr>
    <w:rPr/>
  </w:style>
  <w:style w:type="paragraph" w:styleId="ListParagraph">
    <w:name w:val="List Paragraph"/>
    <w:basedOn w:val="Normal"/>
    <w:qFormat/>
    <w:pPr>
      <w:spacing w:before="0" w:after="0"/>
      <w:ind w:hanging="0" w:left="720"/>
      <w:contextualSpacing/>
    </w:pPr>
    <w:rPr/>
  </w:style>
  <w:style w:type="paragraph" w:styleId="Tabelanormal1">
    <w:name w:val="Tabela normal1"/>
    <w:qFormat/>
    <w:pPr>
      <w:widowControl/>
      <w:suppressAutoHyphens w:val="true"/>
      <w:overflowPunct w:val="true"/>
      <w:bidi w:val="0"/>
      <w:spacing w:lineRule="auto" w:line="276" w:before="0" w:after="200"/>
      <w:jc w:val="left"/>
    </w:pPr>
    <w:rPr>
      <w:rFonts w:ascii="Times New Roman" w:hAnsi="Times New Roman" w:eastAsia="Tahoma" w:cs="Times New Roman"/>
      <w:color w:val="auto"/>
      <w:kern w:val="0"/>
      <w:sz w:val="20"/>
      <w:szCs w:val="20"/>
      <w:lang w:val="pt-BR" w:eastAsia="pt-BR" w:bidi="ar-SA"/>
    </w:rPr>
  </w:style>
  <w:style w:type="paragraph" w:styleId="Quote">
    <w:name w:val="Quote"/>
    <w:basedOn w:val="Normal"/>
    <w:next w:val="Normal"/>
    <w:link w:val="Citao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fill="FFFFCC"/>
      <w:suppressAutoHyphens w:val="false"/>
      <w:spacing w:before="120" w:after="0"/>
      <w:jc w:val="both"/>
    </w:pPr>
    <w:rPr>
      <w:rFonts w:ascii="Arial" w:hAnsi="Arial" w:eastAsia="Calibri" w:cs="Tahoma"/>
      <w:i/>
      <w:iCs/>
      <w:color w:val="000000"/>
      <w:sz w:val="20"/>
      <w:szCs w:val="24"/>
      <w:lang w:eastAsia="en-US"/>
    </w:rPr>
  </w:style>
  <w:style w:type="paragraph" w:styleId="Nivel1">
    <w:name w:val="Nivel1"/>
    <w:basedOn w:val="Heading1"/>
    <w:next w:val="Normal"/>
    <w:link w:val="Nivel1Char"/>
    <w:qFormat/>
    <w:pPr>
      <w:suppressAutoHyphens w:val="false"/>
      <w:spacing w:lineRule="auto" w:line="276" w:before="480" w:after="120"/>
      <w:jc w:val="both"/>
      <w:outlineLvl w:val="9"/>
    </w:pPr>
    <w:rPr>
      <w:rFonts w:ascii="Arial" w:hAnsi="Arial" w:cs="Arial"/>
      <w:bCs w:val="false"/>
      <w:color w:themeColor="accent1" w:themeShade="bf" w:val="000000"/>
      <w:sz w:val="32"/>
      <w:szCs w:val="32"/>
      <w:lang w:eastAsia="en-US"/>
    </w:rPr>
  </w:style>
  <w:style w:type="paragraph" w:styleId="Standard">
    <w:name w:val="Standard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pt-BR" w:eastAsia="zh-CN" w:bidi="hi-IN"/>
    </w:rPr>
  </w:style>
  <w:style w:type="paragraph" w:styleId="citao2">
    <w:name w:val="citação 2"/>
    <w:basedOn w:val="Quote"/>
    <w:qFormat/>
    <w:pPr>
      <w:suppressAutoHyphens w:val="true"/>
    </w:pPr>
    <w:rPr>
      <w:kern w:val="2"/>
      <w:szCs w:val="20"/>
      <w:lang w:eastAsia="zh-CN" w:bidi="hi-IN"/>
    </w:rPr>
  </w:style>
  <w:style w:type="paragraph" w:styleId="Nivel2">
    <w:name w:val="Nivel 2"/>
    <w:basedOn w:val="Normal"/>
    <w:link w:val="Nivel2Char"/>
    <w:qFormat/>
    <w:pPr>
      <w:suppressAutoHyphens w:val="false"/>
      <w:spacing w:lineRule="auto" w:line="276" w:before="120" w:after="120"/>
      <w:jc w:val="both"/>
    </w:pPr>
    <w:rPr>
      <w:rFonts w:ascii="Arial" w:hAnsi="Arial" w:eastAsia="Calibri" w:cs="Arial"/>
      <w:color w:val="000000"/>
      <w:sz w:val="22"/>
      <w:szCs w:val="22"/>
      <w:lang w:eastAsia="en-US"/>
    </w:rPr>
  </w:style>
  <w:style w:type="paragraph" w:styleId="Nivel3">
    <w:name w:val="Nivel 3"/>
    <w:basedOn w:val="ListParagraph"/>
    <w:qFormat/>
    <w:pPr>
      <w:tabs>
        <w:tab w:val="clear" w:pos="708"/>
        <w:tab w:val="left" w:pos="360" w:leader="none"/>
      </w:tabs>
      <w:suppressAutoHyphens w:val="false"/>
      <w:spacing w:lineRule="auto" w:line="276" w:before="120" w:after="120"/>
      <w:ind w:hanging="0" w:left="425"/>
      <w:contextualSpacing/>
      <w:jc w:val="both"/>
    </w:pPr>
    <w:rPr>
      <w:rFonts w:ascii="Arial" w:hAnsi="Arial" w:cs="Arial"/>
      <w:sz w:val="20"/>
    </w:rPr>
  </w:style>
  <w:style w:type="paragraph" w:styleId="TableParagraph">
    <w:name w:val="Table Paragraph"/>
    <w:basedOn w:val="Normal"/>
    <w:qFormat/>
    <w:pPr>
      <w:widowControl w:val="false"/>
      <w:suppressAutoHyphens w:val="false"/>
    </w:pPr>
    <w:rPr>
      <w:rFonts w:ascii="Calibri" w:hAnsi="Calibri" w:eastAsia="Calibri" w:cs="Calibri"/>
      <w:sz w:val="22"/>
      <w:szCs w:val="22"/>
      <w:lang w:val="pt-PT" w:eastAsia="en-US"/>
    </w:rPr>
  </w:style>
  <w:style w:type="paragraph" w:styleId="PADRO">
    <w:name w:val="PADRÃO"/>
    <w:qFormat/>
    <w:pPr>
      <w:keepNext w:val="true"/>
      <w:widowControl w:val="false"/>
      <w:shd w:val="clear" w:fill="FFFFFF"/>
      <w:suppressAutoHyphens w:val="true"/>
      <w:overflowPunct w:val="true"/>
      <w:bidi w:val="0"/>
      <w:spacing w:lineRule="auto" w:line="276" w:before="119" w:after="119"/>
      <w:ind w:firstLine="567"/>
      <w:jc w:val="both"/>
      <w:textAlignment w:val="baseline"/>
    </w:pPr>
    <w:rPr>
      <w:rFonts w:ascii="Ecofont_Spranq_eco_Sans" w:hAnsi="Ecofont_Spranq_eco_Sans" w:eastAsia="WenQuanYi Micro Hei" w:cs="Lohit Hindi"/>
      <w:color w:val="auto"/>
      <w:kern w:val="0"/>
      <w:sz w:val="24"/>
      <w:szCs w:val="24"/>
      <w:lang w:val="pt-BR" w:eastAsia="zh-CN" w:bidi="hi-IN"/>
    </w:rPr>
  </w:style>
  <w:style w:type="paragraph" w:styleId="Contedodatabela">
    <w:name w:val="Conteúdo da tabela"/>
    <w:basedOn w:val="Normal"/>
    <w:qFormat/>
    <w:pPr>
      <w:widowControl w:val="false"/>
      <w:suppressLineNumbers/>
    </w:pPr>
    <w:rPr/>
  </w:style>
  <w:style w:type="paragraph" w:styleId="PargrafodaLista">
    <w:name w:val="Parágrafo da Lista"/>
    <w:basedOn w:val="Normal"/>
    <w:qFormat/>
    <w:pPr>
      <w:spacing w:lineRule="auto" w:line="276" w:before="0" w:after="200"/>
      <w:ind w:hanging="0" w:left="720"/>
      <w:contextualSpacing/>
    </w:pPr>
    <w:rPr>
      <w:rFonts w:ascii="Calibri" w:hAnsi="Calibri" w:eastAsia="Calibri" w:cs="Calibri"/>
      <w:sz w:val="22"/>
      <w:szCs w:val="22"/>
    </w:rPr>
  </w:style>
  <w:style w:type="paragraph" w:styleId="Default">
    <w:name w:val="Default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t-BR" w:eastAsia="zh-CN" w:bidi="ar-SA"/>
    </w:rPr>
  </w:style>
  <w:style w:type="paragraph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styleId="Nivel01">
    <w:name w:val="Nivel 01"/>
    <w:basedOn w:val="Heading1"/>
    <w:qFormat/>
    <w:pPr>
      <w:keepNext w:val="true"/>
      <w:keepLines/>
      <w:tabs>
        <w:tab w:val="clear" w:pos="708"/>
        <w:tab w:val="left" w:pos="567" w:leader="none"/>
      </w:tabs>
      <w:spacing w:before="240" w:after="0"/>
      <w:jc w:val="both"/>
      <w:outlineLvl w:val="9"/>
    </w:pPr>
    <w:rPr>
      <w:rFonts w:ascii="Ecofont_Spranq_eco_Sans" w:hAnsi="Ecofont_Spranq_eco_Sans" w:eastAsia="ＭＳ ゴシック" w:cs="Times New Roman"/>
      <w:b/>
      <w:bCs/>
      <w:color w:themeColor="accent1" w:themeShade="bf" w:val="000000"/>
      <w:sz w:val="20"/>
      <w:szCs w:val="20"/>
    </w:rPr>
  </w:style>
  <w:style w:type="paragraph" w:styleId="caption2">
    <w:name w:val="caption2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caption3">
    <w:name w:val="caption3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NormalWeb">
    <w:name w:val="Normal (Web)"/>
    <w:basedOn w:val="Normal"/>
    <w:qFormat/>
    <w:pPr>
      <w:spacing w:before="280" w:after="280"/>
    </w:pPr>
    <w:rPr>
      <w:sz w:val="24"/>
      <w:szCs w:val="24"/>
    </w:rPr>
  </w:style>
  <w:style w:type="paragraph" w:styleId="LO-normal">
    <w:name w:val="LO-normal"/>
    <w:qFormat/>
    <w:pPr>
      <w:widowControl/>
      <w:suppressAutoHyphens w:val="true"/>
      <w:bidi w:val="0"/>
      <w:spacing w:lineRule="auto" w:line="360" w:before="240" w:after="240"/>
      <w:jc w:val="both"/>
    </w:pPr>
    <w:rPr>
      <w:rFonts w:ascii="Arial" w:hAnsi="Arial" w:eastAsia="Arial" w:cs="DejaVu Sans" w:asciiTheme="minorHAnsi" w:cstheme="minorBidi" w:eastAsiaTheme="minorHAnsi" w:hAnsiTheme="minorHAnsi"/>
      <w:color w:val="auto"/>
      <w:kern w:val="0"/>
      <w:sz w:val="22"/>
      <w:szCs w:val="22"/>
      <w:lang w:val="pt-BR" w:eastAsia="en-US" w:bidi="ar-SA"/>
    </w:rPr>
  </w:style>
  <w:style w:type="paragraph" w:styleId="WW-Textosimples">
    <w:name w:val="WW-Texto simples"/>
    <w:basedOn w:val="Normal"/>
    <w:qFormat/>
    <w:pPr/>
    <w:rPr>
      <w:rFonts w:ascii="Courier New" w:hAnsi="Courier New" w:cs="Courier New"/>
      <w:sz w:val="20"/>
    </w:rPr>
  </w:style>
  <w:style w:type="paragraph" w:styleId="Contedodoquadro">
    <w:name w:val="Conteúdo do quadro"/>
    <w:basedOn w:val="Normal"/>
    <w:qFormat/>
    <w:pPr/>
    <w:rPr/>
  </w:style>
  <w:style w:type="paragraph" w:styleId="caption4">
    <w:name w:val="caption4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Padro1">
    <w:name w:val="Padrão"/>
    <w:qFormat/>
    <w:pPr>
      <w:widowControl/>
      <w:tabs>
        <w:tab w:val="left" w:pos="708" w:leader="none"/>
      </w:tabs>
      <w:suppressAutoHyphens w:val="true"/>
      <w:overflowPunct w:val="false"/>
      <w:bidi w:val="0"/>
      <w:spacing w:lineRule="auto" w:line="276" w:before="0" w:after="200"/>
      <w:jc w:val="left"/>
    </w:pPr>
    <w:rPr>
      <w:rFonts w:ascii="Times New Roman" w:hAnsi="Times New Roman" w:eastAsia="SimSun;宋体" w:cs="Mangal"/>
      <w:color w:val="auto"/>
      <w:kern w:val="2"/>
      <w:sz w:val="24"/>
      <w:szCs w:val="24"/>
      <w:lang w:val="pt-BR" w:eastAsia="zh-CN" w:bidi="hi-IN"/>
    </w:rPr>
  </w:style>
  <w:style w:type="paragraph" w:styleId="Citao1">
    <w:name w:val="Citação1"/>
    <w:basedOn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fill="FFFFCC"/>
      <w:spacing w:before="120" w:after="0"/>
      <w:jc w:val="both"/>
    </w:pPr>
    <w:rPr>
      <w:rFonts w:ascii="Ecofont_Spranq_eco_Sans" w:hAnsi="Ecofont_Spranq_eco_Sans" w:cs="Ecofont_Spranq_eco_Sans"/>
      <w:i/>
      <w:iCs/>
      <w:color w:val="000000"/>
      <w:shd w:fill="FFFFCC" w:val="clear"/>
      <w:lang w:eastAsia="en-US"/>
    </w:rPr>
  </w:style>
  <w:style w:type="paragraph" w:styleId="Nivel5">
    <w:name w:val="Nivel 5"/>
    <w:qFormat/>
    <w:pPr>
      <w:widowControl/>
      <w:tabs>
        <w:tab w:val="clear" w:pos="708"/>
        <w:tab w:val="left" w:pos="360" w:leader="none"/>
      </w:tabs>
      <w:suppressAutoHyphens w:val="true"/>
      <w:bidi w:val="0"/>
      <w:spacing w:lineRule="auto" w:line="276" w:before="120" w:after="120"/>
      <w:ind w:hanging="0" w:left="3485"/>
      <w:jc w:val="both"/>
    </w:pPr>
    <w:rPr>
      <w:rFonts w:ascii="Ecofont_Spranq_eco_Sans" w:hAnsi="Ecofont_Spranq_eco_Sans" w:eastAsia="Arial Unicode MS" w:cs="Arial"/>
      <w:color w:val="auto"/>
      <w:kern w:val="0"/>
      <w:sz w:val="22"/>
      <w:szCs w:val="22"/>
      <w:lang w:val="pt-BR" w:eastAsia="en-US" w:bidi="ar-SA"/>
    </w:rPr>
  </w:style>
  <w:style w:type="paragraph" w:styleId="Nivel4">
    <w:name w:val="Nivel 4"/>
    <w:qFormat/>
    <w:pPr>
      <w:widowControl/>
      <w:tabs>
        <w:tab w:val="clear" w:pos="708"/>
        <w:tab w:val="left" w:pos="360" w:leader="none"/>
      </w:tabs>
      <w:suppressAutoHyphens w:val="true"/>
      <w:bidi w:val="0"/>
      <w:spacing w:lineRule="auto" w:line="276" w:before="120" w:after="120"/>
      <w:ind w:hanging="0" w:left="2491"/>
      <w:jc w:val="both"/>
    </w:pPr>
    <w:rPr>
      <w:rFonts w:ascii="Ecofont_Spranq_eco_Sans" w:hAnsi="Ecofont_Spranq_eco_Sans" w:eastAsia="Arial Unicode MS" w:cs="Arial"/>
      <w:color w:val="auto"/>
      <w:kern w:val="0"/>
      <w:sz w:val="22"/>
      <w:szCs w:val="22"/>
      <w:lang w:val="pt-BR" w:eastAsia="en-US" w:bidi="ar-SA"/>
    </w:rPr>
  </w:style>
  <w:style w:type="paragraph" w:styleId="Nivel11">
    <w:name w:val="Nivel 1"/>
    <w:qFormat/>
    <w:pPr>
      <w:widowControl/>
      <w:tabs>
        <w:tab w:val="clear" w:pos="708"/>
        <w:tab w:val="left" w:pos="360" w:leader="none"/>
      </w:tabs>
      <w:suppressAutoHyphens w:val="true"/>
      <w:bidi w:val="0"/>
      <w:spacing w:lineRule="auto" w:line="276" w:before="120" w:after="120"/>
      <w:ind w:hanging="432" w:left="644"/>
      <w:jc w:val="both"/>
    </w:pPr>
    <w:rPr>
      <w:rFonts w:ascii="Ecofont_Spranq_eco_Sans" w:hAnsi="Ecofont_Spranq_eco_Sans" w:eastAsia="Arial Unicode MS" w:cs="Arial"/>
      <w:b/>
      <w:color w:val="auto"/>
      <w:kern w:val="0"/>
      <w:sz w:val="22"/>
      <w:szCs w:val="22"/>
      <w:lang w:val="pt-BR" w:eastAsia="en-US" w:bidi="ar-SA"/>
    </w:rPr>
  </w:style>
  <w:style w:type="paragraph" w:styleId="PargrafodaLista1">
    <w:name w:val="Parágrafo da Lista1"/>
    <w:basedOn w:val="Normal"/>
    <w:qFormat/>
    <w:pPr>
      <w:ind w:hanging="0" w:left="720"/>
    </w:pPr>
    <w:rPr>
      <w:rFonts w:ascii="Ecofont_Spranq_eco_Sans" w:hAnsi="Ecofont_Spranq_eco_Sans" w:cs="Ecofont_Spranq_eco_Sans"/>
    </w:rPr>
  </w:style>
  <w:style w:type="paragraph" w:styleId="SombreamentoMdio1-nfase31">
    <w:name w:val="Sombreamento Médio 1 - Ênfase 31"/>
    <w:basedOn w:val="Normal"/>
    <w:qFormat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fill="FFFFCC"/>
      <w:spacing w:before="120" w:after="0"/>
      <w:jc w:val="both"/>
    </w:pPr>
    <w:rPr>
      <w:rFonts w:ascii="Ecofont_Spranq_eco_Sans" w:hAnsi="Ecofont_Spranq_eco_Sans" w:eastAsia="Calibri"/>
      <w:i/>
      <w:iCs/>
      <w:color w:val="000000"/>
    </w:rPr>
  </w:style>
  <w:style w:type="paragraph" w:styleId="Nivel011">
    <w:name w:val="Nivel_01"/>
    <w:basedOn w:val="Heading1"/>
    <w:qFormat/>
    <w:pPr>
      <w:keepNext w:val="true"/>
      <w:keepLines/>
      <w:tabs>
        <w:tab w:val="clear" w:pos="708"/>
        <w:tab w:val="left" w:pos="567" w:leader="none"/>
      </w:tabs>
      <w:spacing w:before="240" w:after="0"/>
      <w:jc w:val="both"/>
      <w:outlineLvl w:val="9"/>
    </w:pPr>
    <w:rPr>
      <w:rFonts w:ascii="Ecofont_Spranq_eco_Sans" w:hAnsi="Ecofont_Spranq_eco_Sans" w:eastAsia="ＭＳ ゴシック" w:cs="Times New Roman"/>
      <w:b/>
      <w:bCs/>
      <w:color w:themeColor="accent1" w:themeShade="bf" w:val="365F91"/>
      <w:sz w:val="20"/>
      <w:szCs w:val="20"/>
    </w:rPr>
  </w:style>
  <w:style w:type="paragraph" w:styleId="annotationsubject">
    <w:name w:val="annotation subject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0"/>
      <w:b/>
      <w:bCs/>
      <w:color w:val="auto"/>
      <w:kern w:val="0"/>
      <w:sz w:val="20"/>
      <w:szCs w:val="20"/>
      <w:lang w:val="pt-BR" w:eastAsia="en-US" w:bidi="ar-SA"/>
    </w:rPr>
  </w:style>
  <w:style w:type="paragraph" w:styleId="AnnotationText">
    <w:name w:val="Annotation Text"/>
    <w:basedOn w:val="Normal"/>
    <w:pPr/>
    <w:rPr/>
  </w:style>
  <w:style w:type="paragraph" w:styleId="GradeColorida-nfase11">
    <w:name w:val="Grade Colorida - Ênfase 11"/>
    <w:basedOn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fill="FFFFCC"/>
      <w:spacing w:before="120" w:after="0"/>
      <w:jc w:val="both"/>
    </w:pPr>
    <w:rPr>
      <w:rFonts w:eastAsia="Calibri" w:cs="Times New Roman"/>
      <w:i/>
      <w:iCs/>
      <w:color w:val="000000"/>
      <w:lang w:val="x-none" w:eastAsia="en-US"/>
    </w:rPr>
  </w:style>
  <w:style w:type="paragraph" w:styleId="ListBullet5">
    <w:name w:val="List Bullet 5"/>
    <w:basedOn w:val="Normal"/>
    <w:pPr>
      <w:spacing w:before="0" w:after="0"/>
      <w:contextualSpacing/>
    </w:pPr>
    <w:rPr/>
  </w:style>
  <w:style w:type="paragraph" w:styleId="Nvel2">
    <w:name w:val="Nível 2"/>
    <w:basedOn w:val="Normal"/>
    <w:qFormat/>
    <w:pPr>
      <w:spacing w:before="0" w:after="120"/>
      <w:jc w:val="both"/>
    </w:pPr>
    <w:rPr>
      <w:rFonts w:cs="Times New Roman"/>
      <w:b/>
      <w:szCs w:val="20"/>
    </w:rPr>
  </w:style>
  <w:style w:type="paragraph" w:styleId="BalloonText">
    <w:name w:val="Balloon Text"/>
    <w:basedOn w:val="Normal"/>
    <w:qFormat/>
    <w:pPr/>
    <w:rPr>
      <w:rFonts w:ascii="Tahoma" w:hAnsi="Tahoma"/>
      <w:sz w:val="16"/>
      <w:szCs w:val="16"/>
    </w:rPr>
  </w:style>
  <w:style w:type="paragraph" w:styleId="Nvel3-R">
    <w:name w:val="Nível 3-R"/>
    <w:basedOn w:val="Normal"/>
    <w:qFormat/>
    <w:pPr>
      <w:numPr>
        <w:ilvl w:val="0"/>
        <w:numId w:val="1"/>
      </w:numPr>
      <w:suppressAutoHyphens w:val="false"/>
      <w:spacing w:lineRule="auto" w:line="276" w:before="120" w:after="120"/>
      <w:ind w:hanging="0" w:left="284" w:right="0"/>
      <w:jc w:val="both"/>
    </w:pPr>
    <w:rPr>
      <w:rFonts w:ascii="Arial" w:hAnsi="Arial" w:eastAsia="Times New Roman" w:cs="Arial"/>
      <w:i/>
      <w:iCs/>
      <w:color w:val="FF0000"/>
      <w:sz w:val="20"/>
      <w:szCs w:val="20"/>
    </w:rPr>
  </w:style>
  <w:style w:type="paragraph" w:styleId="Nvel3">
    <w:name w:val="Nível 3"/>
    <w:basedOn w:val="Nvel3-R"/>
    <w:qFormat/>
    <w:pPr/>
    <w:rPr>
      <w:i w:val="false"/>
      <w:iCs w:val="false"/>
      <w:color w:val="000000"/>
    </w:rPr>
  </w:style>
  <w:style w:type="paragraph" w:styleId="Nvel4">
    <w:name w:val="Nível 4"/>
    <w:basedOn w:val="Nvel3"/>
    <w:qFormat/>
    <w:pPr>
      <w:numPr>
        <w:ilvl w:val="0"/>
        <w:numId w:val="1"/>
      </w:numPr>
      <w:ind w:hanging="0" w:left="567" w:right="0"/>
    </w:pPr>
    <w:rPr>
      <w:rFonts w:ascii="Times New Roman" w:hAnsi="Times New Roman" w:cs="Times New Roman"/>
    </w:rPr>
  </w:style>
  <w:style w:type="numbering" w:styleId="Semlista">
    <w:name w:val="Sem lista"/>
    <w:qFormat/>
  </w:style>
  <w:style w:type="numbering" w:styleId="WW8Num10">
    <w:name w:val="WW8Num10"/>
    <w:qFormat/>
  </w:style>
  <w:style w:type="numbering" w:styleId="WW8Num9">
    <w:name w:val="WW8Num9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assistenciasgp@gmail.com" TargetMode="External"/><Relationship Id="rId3" Type="http://schemas.openxmlformats.org/officeDocument/2006/relationships/hyperlink" Target="https://www.planalto.gov.br/ccivil_03/leis/lcp/lcp123.htm" TargetMode="External"/><Relationship Id="rId4" Type="http://schemas.openxmlformats.org/officeDocument/2006/relationships/hyperlink" Target="http://www.portaldatransparencia.gov.br/ceis" TargetMode="External"/><Relationship Id="rId5" Type="http://schemas.openxmlformats.org/officeDocument/2006/relationships/hyperlink" Target="http://www.cnj.jus.br/improbidade_adm/consultar_requerido.php" TargetMode="External"/><Relationship Id="rId6" Type="http://schemas.openxmlformats.org/officeDocument/2006/relationships/hyperlink" Target="https://www.tcees.tc.br/portal-da-transparencia/consultas/lista-de" TargetMode="External"/><Relationship Id="rId7" Type="http://schemas.openxmlformats.org/officeDocument/2006/relationships/hyperlink" Target="https://certidoesapf.apps.tcu.gov.br/" TargetMode="External"/><Relationship Id="rId8" Type="http://schemas.openxmlformats.org/officeDocument/2006/relationships/hyperlink" Target="http://www.portaldoempreendedor.gov.br/" TargetMode="External"/><Relationship Id="rId9" Type="http://schemas.openxmlformats.org/officeDocument/2006/relationships/hyperlink" Target="https://www.planalto.gov.br/ccivil_03/leis/lcp/lcp123.htm" TargetMode="External"/><Relationship Id="rId10" Type="http://schemas.openxmlformats.org/officeDocument/2006/relationships/header" Target="header1.xml"/><Relationship Id="rId11" Type="http://schemas.openxmlformats.org/officeDocument/2006/relationships/header" Target="header2.xml"/><Relationship Id="rId12" Type="http://schemas.openxmlformats.org/officeDocument/2006/relationships/header" Target="header3.xml"/><Relationship Id="rId13" Type="http://schemas.openxmlformats.org/officeDocument/2006/relationships/footer" Target="footer1.xml"/><Relationship Id="rId14" Type="http://schemas.openxmlformats.org/officeDocument/2006/relationships/footer" Target="footer2.xml"/><Relationship Id="rId15" Type="http://schemas.openxmlformats.org/officeDocument/2006/relationships/footer" Target="footer3.xml"/><Relationship Id="rId16" Type="http://schemas.openxmlformats.org/officeDocument/2006/relationships/numbering" Target="numbering.xml"/><Relationship Id="rId17" Type="http://schemas.openxmlformats.org/officeDocument/2006/relationships/fontTable" Target="fontTable.xml"/><Relationship Id="rId18" Type="http://schemas.openxmlformats.org/officeDocument/2006/relationships/settings" Target="settings.xml"/><Relationship Id="rId19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942</TotalTime>
  <Application>LibreOffice/24.2.7.2$Windows_X86_64 LibreOffice_project/ee3885777aa7032db5a9b65deec9457448a91162</Application>
  <AppVersion>15.0000</AppVersion>
  <Pages>12</Pages>
  <Words>5769</Words>
  <Characters>32320</Characters>
  <CharactersWithSpaces>37787</CharactersWithSpaces>
  <Paragraphs>385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Ruth Barbara da Silwa Nascimento</dc:creator>
  <dc:description/>
  <dc:language>pt-BR</dc:language>
  <cp:lastModifiedBy/>
  <cp:lastPrinted>2025-08-04T15:21:14Z</cp:lastPrinted>
  <dcterms:modified xsi:type="dcterms:W3CDTF">2026-07-08T15:08:44Z</dcterms:modified>
  <cp:revision>170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